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DB" w:rsidRPr="004335C6" w:rsidRDefault="007D42DB" w:rsidP="00836466">
      <w:pPr>
        <w:tabs>
          <w:tab w:val="left" w:pos="290"/>
          <w:tab w:val="center" w:pos="4150"/>
        </w:tabs>
        <w:ind w:left="113" w:right="113"/>
        <w:jc w:val="center"/>
        <w:rPr>
          <w:rFonts w:cs="Times New Roman"/>
          <w:b/>
          <w:sz w:val="23"/>
          <w:szCs w:val="23"/>
          <w:u w:val="single"/>
          <w:lang w:val="en-GB"/>
        </w:rPr>
      </w:pPr>
      <w:r w:rsidRPr="004335C6">
        <w:rPr>
          <w:rFonts w:cs="Times New Roman"/>
          <w:b/>
          <w:sz w:val="23"/>
          <w:szCs w:val="23"/>
          <w:u w:val="single"/>
          <w:lang w:val="en-GB"/>
        </w:rPr>
        <w:t>Additional Statement expanding on the complaints</w:t>
      </w:r>
    </w:p>
    <w:p w:rsidR="007D42DB" w:rsidRPr="004335C6" w:rsidRDefault="00F4559F" w:rsidP="00836466">
      <w:pPr>
        <w:tabs>
          <w:tab w:val="left" w:pos="290"/>
          <w:tab w:val="center" w:pos="4150"/>
        </w:tabs>
        <w:ind w:left="113" w:right="113"/>
        <w:jc w:val="center"/>
        <w:rPr>
          <w:rFonts w:cs="Times New Roman"/>
          <w:b/>
          <w:sz w:val="23"/>
          <w:szCs w:val="23"/>
          <w:u w:val="single"/>
        </w:rPr>
      </w:pPr>
      <w:r>
        <w:rPr>
          <w:rFonts w:cs="Times New Roman"/>
          <w:b/>
          <w:sz w:val="23"/>
          <w:szCs w:val="23"/>
          <w:u w:val="single"/>
          <w:lang w:val="en-GB"/>
        </w:rPr>
        <w:t>Ad-Soyad</w:t>
      </w:r>
    </w:p>
    <w:p w:rsidR="00FA3BA9" w:rsidRPr="004335C6" w:rsidRDefault="001F5325" w:rsidP="00836466">
      <w:pPr>
        <w:ind w:left="113" w:right="113" w:firstLine="0"/>
        <w:rPr>
          <w:rFonts w:eastAsia="Times New Roman" w:cs="Times New Roman"/>
          <w:sz w:val="23"/>
          <w:szCs w:val="23"/>
          <w:lang w:eastAsia="tr-TR"/>
        </w:rPr>
      </w:pPr>
      <w:r w:rsidRPr="004335C6">
        <w:rPr>
          <w:rFonts w:eastAsia="Times New Roman" w:cs="Times New Roman"/>
          <w:sz w:val="23"/>
          <w:szCs w:val="23"/>
          <w:lang w:eastAsia="tr-TR"/>
        </w:rPr>
        <w:t xml:space="preserve"> </w:t>
      </w:r>
    </w:p>
    <w:p w:rsidR="00DA6023" w:rsidRPr="004335C6" w:rsidRDefault="00DA6023" w:rsidP="00836466">
      <w:pPr>
        <w:pStyle w:val="Balk1"/>
        <w:ind w:left="113" w:right="113"/>
        <w:rPr>
          <w:rFonts w:cs="Times New Roman"/>
          <w:sz w:val="23"/>
          <w:szCs w:val="23"/>
        </w:rPr>
      </w:pPr>
      <w:r w:rsidRPr="004335C6">
        <w:rPr>
          <w:rFonts w:cs="Times New Roman"/>
          <w:sz w:val="23"/>
          <w:szCs w:val="23"/>
        </w:rPr>
        <w:t>İç Hukuk Yollarının Tüketilmesi Hakkında</w:t>
      </w:r>
    </w:p>
    <w:p w:rsidR="008F711E" w:rsidRPr="004335C6" w:rsidRDefault="00B44C12"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Başvurucu olaylar bölümünde </w:t>
      </w:r>
      <w:r w:rsidR="008F711E" w:rsidRPr="004335C6">
        <w:rPr>
          <w:rFonts w:cs="Times New Roman"/>
          <w:sz w:val="23"/>
          <w:szCs w:val="23"/>
        </w:rPr>
        <w:t>belirtildiği gibi süresi için</w:t>
      </w:r>
      <w:r w:rsidR="00FC1E3E">
        <w:rPr>
          <w:rFonts w:cs="Times New Roman"/>
          <w:sz w:val="23"/>
          <w:szCs w:val="23"/>
        </w:rPr>
        <w:t xml:space="preserve">de </w:t>
      </w:r>
      <w:r w:rsidR="00FC1E3E" w:rsidRPr="00F4559F">
        <w:rPr>
          <w:rFonts w:cs="Times New Roman"/>
          <w:sz w:val="23"/>
          <w:szCs w:val="23"/>
          <w:highlight w:val="yellow"/>
        </w:rPr>
        <w:t>idari yargıda davasını açmış</w:t>
      </w:r>
      <w:r w:rsidR="00FC1E3E">
        <w:rPr>
          <w:rFonts w:cs="Times New Roman"/>
          <w:sz w:val="23"/>
          <w:szCs w:val="23"/>
        </w:rPr>
        <w:t>;</w:t>
      </w:r>
      <w:r w:rsidR="008F711E" w:rsidRPr="004335C6">
        <w:rPr>
          <w:rFonts w:cs="Times New Roman"/>
          <w:sz w:val="23"/>
          <w:szCs w:val="23"/>
        </w:rPr>
        <w:t xml:space="preserve"> </w:t>
      </w:r>
      <w:r w:rsidR="00FC1E3E">
        <w:rPr>
          <w:rFonts w:cs="Times New Roman"/>
          <w:sz w:val="23"/>
          <w:szCs w:val="23"/>
        </w:rPr>
        <w:t>ancak bu davadan bir sonuç alamamıştır.</w:t>
      </w:r>
    </w:p>
    <w:p w:rsidR="00515C5B"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AİHM, </w:t>
      </w:r>
      <w:r w:rsidR="00087BED" w:rsidRPr="004335C6">
        <w:rPr>
          <w:rFonts w:cs="Times New Roman"/>
          <w:sz w:val="23"/>
          <w:szCs w:val="23"/>
        </w:rPr>
        <w:t>B</w:t>
      </w:r>
      <w:r w:rsidRPr="004335C6">
        <w:rPr>
          <w:rFonts w:cs="Times New Roman"/>
          <w:sz w:val="23"/>
          <w:szCs w:val="23"/>
        </w:rPr>
        <w:t>aşvurucunun vakasına benzer bir şekilde bir KHK ile kamu hizmetinden çıkarılan Akif Zihni’nin yaptığı başvuruda iç hukuk yollarının tüketilmediği gerekçesiyle başvuruyu kabul edilemez bulmuştur (Zihni/Türkiye, no: 59061/16, 29.11.2016). Zihni kararında, AİHM</w:t>
      </w:r>
      <w:r w:rsidR="00BF2120" w:rsidRPr="004335C6">
        <w:rPr>
          <w:rFonts w:cs="Times New Roman"/>
          <w:sz w:val="23"/>
          <w:szCs w:val="23"/>
        </w:rPr>
        <w:t xml:space="preserve"> idari yargı ve anayasa</w:t>
      </w:r>
      <w:r w:rsidR="00087BED" w:rsidRPr="004335C6">
        <w:rPr>
          <w:rFonts w:cs="Times New Roman"/>
          <w:sz w:val="23"/>
          <w:szCs w:val="23"/>
        </w:rPr>
        <w:t>l</w:t>
      </w:r>
      <w:r w:rsidR="00BF2120" w:rsidRPr="004335C6">
        <w:rPr>
          <w:rFonts w:cs="Times New Roman"/>
          <w:sz w:val="23"/>
          <w:szCs w:val="23"/>
        </w:rPr>
        <w:t xml:space="preserve"> bireysel başvuru yollarının tüketilmesi gerektiğini saptamıştır.</w:t>
      </w:r>
      <w:r w:rsidR="00CE20D8" w:rsidRPr="004335C6">
        <w:rPr>
          <w:rFonts w:cs="Times New Roman"/>
          <w:sz w:val="23"/>
          <w:szCs w:val="23"/>
        </w:rPr>
        <w:t xml:space="preserve"> Köksal/Türkiye kararında ise başvurucunun Olağanüstü Hal İşlemleri İnceleme Komisyonu’na </w:t>
      </w:r>
      <w:r w:rsidR="00515C5B" w:rsidRPr="004335C6">
        <w:rPr>
          <w:rFonts w:cs="Times New Roman"/>
          <w:sz w:val="23"/>
          <w:szCs w:val="23"/>
        </w:rPr>
        <w:t xml:space="preserve">başvurmadığı için iç hukuk yollarını tüketmediğine karar vermiştir. (Köksal/Türkiye, no. 70478/16, 12.6.2017). </w:t>
      </w:r>
    </w:p>
    <w:p w:rsidR="00DA6023" w:rsidRPr="004335C6" w:rsidRDefault="00515C5B"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İşbu başvuru her iki karardaki olaylardan farklıdır. Bu nedenle, iç hukuk yollarının tüketilmesine gerek olmadığına karar verilmesi gerekmektedir. </w:t>
      </w:r>
    </w:p>
    <w:p w:rsidR="00515C5B" w:rsidRPr="004335C6" w:rsidRDefault="00515C5B" w:rsidP="00515C5B">
      <w:pPr>
        <w:pStyle w:val="ListeParagraf"/>
        <w:spacing w:before="0" w:after="0"/>
        <w:ind w:left="113" w:right="113" w:firstLine="0"/>
        <w:rPr>
          <w:rFonts w:cs="Times New Roman"/>
          <w:sz w:val="23"/>
          <w:szCs w:val="23"/>
        </w:rPr>
      </w:pPr>
    </w:p>
    <w:p w:rsidR="00DA6023" w:rsidRPr="004335C6" w:rsidRDefault="00DA6023" w:rsidP="00836466">
      <w:pPr>
        <w:pStyle w:val="Balk2"/>
        <w:ind w:left="113" w:right="113"/>
        <w:rPr>
          <w:rFonts w:cs="Times New Roman"/>
          <w:sz w:val="23"/>
          <w:szCs w:val="23"/>
        </w:rPr>
      </w:pPr>
      <w:r w:rsidRPr="004335C6">
        <w:rPr>
          <w:rFonts w:cs="Times New Roman"/>
          <w:sz w:val="23"/>
          <w:szCs w:val="23"/>
        </w:rPr>
        <w:t>İdari Yargı Açısından</w:t>
      </w:r>
    </w:p>
    <w:p w:rsidR="00DA6023" w:rsidRPr="00F4559F"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Danıştay, KHK ihraçları hakkında bir karar vermiş ve tüm başvuruları genel yetkili oldukları gerekçesiyle idare mahkemelerine göndermiştir (Danıştay 5. Dairesi; E. 2016/8136, K. 2016/4076). Bu kararın, ihraç edilen kamu görevlilerinin belirsizlik durumunu uzattığı açıktır. </w:t>
      </w:r>
      <w:r w:rsidRPr="00F4559F">
        <w:rPr>
          <w:rFonts w:cs="Times New Roman"/>
          <w:sz w:val="23"/>
          <w:szCs w:val="23"/>
        </w:rPr>
        <w:t>Ekte sunulan (</w:t>
      </w:r>
      <w:r w:rsidRPr="00F4559F">
        <w:rPr>
          <w:rFonts w:cs="Times New Roman"/>
          <w:sz w:val="23"/>
          <w:szCs w:val="23"/>
          <w:highlight w:val="green"/>
        </w:rPr>
        <w:t>EK-CD</w:t>
      </w:r>
      <w:r w:rsidRPr="00F4559F">
        <w:rPr>
          <w:rFonts w:cs="Times New Roman"/>
          <w:sz w:val="23"/>
          <w:szCs w:val="23"/>
        </w:rPr>
        <w:t>) yüzlerce farklı kararda görülebileceği gibi Türkiye’nin hemen her yerinde idare mahkemeleri, KHK ile kamu hizmetinden çıkarılanlar açısından esasa girmeden davaya bakmalarının mümkün olmadığına karar verm</w:t>
      </w:r>
      <w:r w:rsidR="00E36517" w:rsidRPr="00F4559F">
        <w:rPr>
          <w:rFonts w:cs="Times New Roman"/>
          <w:sz w:val="23"/>
          <w:szCs w:val="23"/>
        </w:rPr>
        <w:t>iştir</w:t>
      </w:r>
      <w:r w:rsidRPr="00F4559F">
        <w:rPr>
          <w:rFonts w:cs="Times New Roman"/>
          <w:sz w:val="23"/>
          <w:szCs w:val="23"/>
        </w:rPr>
        <w:t xml:space="preserve">.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Bu kararlara göre, her ne kadar bir yürütme organı tarafından yapılmış olsa da fonksiyonel anlamda </w:t>
      </w:r>
      <w:r w:rsidRPr="004335C6">
        <w:rPr>
          <w:rFonts w:cs="Times New Roman"/>
          <w:b/>
          <w:sz w:val="23"/>
          <w:szCs w:val="23"/>
        </w:rPr>
        <w:t>yasa niteliğinde olan KHK</w:t>
      </w:r>
      <w:r w:rsidR="00087BED" w:rsidRPr="004335C6">
        <w:rPr>
          <w:rFonts w:cs="Times New Roman"/>
          <w:b/>
          <w:sz w:val="23"/>
          <w:szCs w:val="23"/>
        </w:rPr>
        <w:t>’</w:t>
      </w:r>
      <w:r w:rsidRPr="004335C6">
        <w:rPr>
          <w:rFonts w:cs="Times New Roman"/>
          <w:b/>
          <w:sz w:val="23"/>
          <w:szCs w:val="23"/>
        </w:rPr>
        <w:t>lerin denetiminin idari yargı tarafından yapılması mümkün değildir</w:t>
      </w:r>
      <w:r w:rsidRPr="004335C6">
        <w:rPr>
          <w:rFonts w:cs="Times New Roman"/>
          <w:sz w:val="23"/>
          <w:szCs w:val="23"/>
        </w:rPr>
        <w:t xml:space="preserve">. Kararlar Türkiye’nin her tarafından gelmekte ve fakat tamamen aynı içerikte çıkmaktadır. </w:t>
      </w:r>
    </w:p>
    <w:p w:rsidR="00DA6023" w:rsidRPr="00D64C10" w:rsidRDefault="00DA6023" w:rsidP="00D64C10">
      <w:pPr>
        <w:spacing w:before="0" w:after="0"/>
        <w:ind w:left="0" w:right="113" w:firstLine="0"/>
        <w:rPr>
          <w:rFonts w:eastAsia="MS Mincho" w:cs="Times New Roman"/>
          <w:sz w:val="23"/>
          <w:szCs w:val="23"/>
        </w:rPr>
      </w:pP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Onbinlerce kişi tarafından açılan davaların bir tanesinde bile iptal kararı çıkması bir yana, esastan inceleme kararı bile çıkmamış olması, bu hukuk yolunun etkili olmadığını açıkça ortaya koymaktadır. AİHM içtihadında açıkça belirtildiği üzere </w:t>
      </w:r>
      <w:r w:rsidRPr="004335C6">
        <w:rPr>
          <w:rFonts w:cs="Times New Roman"/>
          <w:b/>
          <w:sz w:val="23"/>
          <w:szCs w:val="23"/>
        </w:rPr>
        <w:t>iç hukuk yollarının tüketilmesi şartı aşırı bir formalizm içinde uygulanamayacağı gibi mutlak bir kural olarak da anlaşılamaz</w:t>
      </w:r>
      <w:r w:rsidRPr="004335C6">
        <w:rPr>
          <w:rFonts w:cs="Times New Roman"/>
          <w:sz w:val="23"/>
          <w:szCs w:val="23"/>
        </w:rPr>
        <w:t xml:space="preserve"> (Kozacıoğlu/Türkiye, no. 2334/03, 19.2.2009, para. 40). </w:t>
      </w:r>
    </w:p>
    <w:p w:rsidR="00515C5B" w:rsidRPr="004335C6" w:rsidRDefault="00515C5B" w:rsidP="00515C5B">
      <w:pPr>
        <w:spacing w:before="0" w:after="0"/>
        <w:ind w:left="0" w:right="113" w:hanging="284"/>
        <w:rPr>
          <w:rFonts w:cs="Times New Roman"/>
          <w:sz w:val="23"/>
          <w:szCs w:val="23"/>
        </w:rPr>
      </w:pPr>
    </w:p>
    <w:p w:rsidR="00515C5B" w:rsidRPr="004335C6" w:rsidRDefault="00515C5B" w:rsidP="00515C5B">
      <w:pPr>
        <w:pStyle w:val="ListeParagraf"/>
        <w:numPr>
          <w:ilvl w:val="0"/>
          <w:numId w:val="12"/>
        </w:numPr>
        <w:spacing w:before="0" w:after="0"/>
        <w:ind w:left="0" w:right="113" w:hanging="284"/>
        <w:rPr>
          <w:rFonts w:cs="Times New Roman"/>
          <w:sz w:val="23"/>
          <w:szCs w:val="23"/>
        </w:rPr>
      </w:pPr>
      <w:r w:rsidRPr="004335C6">
        <w:rPr>
          <w:rFonts w:eastAsia="Times New Roman" w:cs="Times New Roman"/>
          <w:sz w:val="23"/>
          <w:szCs w:val="23"/>
          <w:lang w:eastAsia="tr-TR"/>
        </w:rPr>
        <w:t xml:space="preserve">Aşağıda açıklanan Olağanüstü Hal İşlemleri İnceleme Komisyonunun kurulmasını öngören 685 Sayılı KHK’nin Geçici 1. maddesinin </w:t>
      </w:r>
      <w:r w:rsidR="008154A0">
        <w:rPr>
          <w:rFonts w:eastAsia="Times New Roman" w:cs="Times New Roman"/>
          <w:sz w:val="23"/>
          <w:szCs w:val="23"/>
          <w:lang w:eastAsia="tr-TR"/>
        </w:rPr>
        <w:t>3</w:t>
      </w:r>
      <w:r w:rsidRPr="004335C6">
        <w:rPr>
          <w:rFonts w:eastAsia="Times New Roman" w:cs="Times New Roman"/>
          <w:sz w:val="23"/>
          <w:szCs w:val="23"/>
          <w:lang w:eastAsia="tr-TR"/>
        </w:rPr>
        <w:t xml:space="preserve">. fıkrasına 690 Sayılı KHK ile şu hüküm eklenmiştir: “Bu dosyalar hakkında yargı mercilerince karar verilmesine yer olmadığına ve tarafların yaptıkları masrafların üzerlerinde bırakılmasına dosya üzerinden kesin olarak karar verilir, vekâlet ücretine hükmedilmez. Bu dosyalar, yeni bir başvuru şartı aranmaksızın incelenmek üzere Komisyona gönderilir”. Bu kural sonrasında idari yargıdaki davaların tamamı reddedilecektir. </w:t>
      </w:r>
    </w:p>
    <w:p w:rsidR="00515C5B" w:rsidRPr="004335C6" w:rsidRDefault="00515C5B" w:rsidP="00515C5B">
      <w:pPr>
        <w:spacing w:before="0" w:after="0"/>
        <w:ind w:left="0" w:right="113" w:firstLine="0"/>
        <w:rPr>
          <w:rFonts w:cs="Times New Roman"/>
          <w:sz w:val="23"/>
          <w:szCs w:val="23"/>
        </w:rPr>
      </w:pPr>
    </w:p>
    <w:p w:rsidR="00DA6023" w:rsidRPr="004335C6" w:rsidRDefault="00DA6023" w:rsidP="00836466">
      <w:pPr>
        <w:ind w:left="113" w:right="113"/>
        <w:rPr>
          <w:rFonts w:cs="Times New Roman"/>
          <w:b/>
          <w:sz w:val="23"/>
          <w:szCs w:val="23"/>
        </w:rPr>
      </w:pPr>
      <w:r w:rsidRPr="004335C6">
        <w:rPr>
          <w:rFonts w:cs="Times New Roman"/>
          <w:b/>
          <w:sz w:val="23"/>
          <w:szCs w:val="23"/>
        </w:rPr>
        <w:t>Anayasa Yargısı Açısından</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Anayasa’nın 148. maddesi “olağanüstü hallerde, sıkıyönetim ve savaş hallerinde çıkarılan </w:t>
      </w:r>
      <w:r w:rsidRPr="004335C6">
        <w:rPr>
          <w:rFonts w:cs="Times New Roman"/>
          <w:b/>
          <w:sz w:val="23"/>
          <w:szCs w:val="23"/>
        </w:rPr>
        <w:t>kanun hükmünde kararnamelerin şekil ve esas bakımından Anayasaya aykırılığı iddiasıyla, Anayasa Mahkemesinde dava açılamaz</w:t>
      </w:r>
      <w:r w:rsidRPr="004335C6">
        <w:rPr>
          <w:rFonts w:cs="Times New Roman"/>
          <w:sz w:val="23"/>
          <w:szCs w:val="23"/>
        </w:rPr>
        <w:t>” demektedir. Anayasa Mahkemesi, ana muhalefet partisinin iki OHAL KHK</w:t>
      </w:r>
      <w:r w:rsidR="00087BED" w:rsidRPr="004335C6">
        <w:rPr>
          <w:rFonts w:cs="Times New Roman"/>
          <w:sz w:val="23"/>
          <w:szCs w:val="23"/>
        </w:rPr>
        <w:t>’</w:t>
      </w:r>
      <w:r w:rsidRPr="004335C6">
        <w:rPr>
          <w:rFonts w:cs="Times New Roman"/>
          <w:sz w:val="23"/>
          <w:szCs w:val="23"/>
        </w:rPr>
        <w:t xml:space="preserve">si için yaptığı başvuruyu yetki </w:t>
      </w:r>
      <w:r w:rsidRPr="004335C6">
        <w:rPr>
          <w:rFonts w:cs="Times New Roman"/>
          <w:sz w:val="23"/>
          <w:szCs w:val="23"/>
        </w:rPr>
        <w:lastRenderedPageBreak/>
        <w:t>bakımından reddetmiş; “</w:t>
      </w:r>
      <w:r w:rsidRPr="004335C6">
        <w:rPr>
          <w:rFonts w:cs="Times New Roman"/>
          <w:i/>
          <w:sz w:val="23"/>
          <w:szCs w:val="23"/>
        </w:rPr>
        <w:t>Anayasa’nın 121. maddesi uyarınca çıkarılan dava konusu KHK hükümlerinin, Anayasa’nın 148. maddesinin birinci fıkrasının üçüncü cümlesinde yer alan “... olağanüstü hallerde, sıkıyönetim ve savaş hallerinde çıkarılan kanun hükmünde kararnamelerin şekil ve esas bakımından Anayasaya aykırılığı iddiasıyla, Anayasa Mahkemesinde dava açılamaz.” hükmü karşısında, esasa geçilerek yargısal denetim yapılması mümkün değildir</w:t>
      </w:r>
      <w:r w:rsidRPr="004335C6">
        <w:rPr>
          <w:rFonts w:cs="Times New Roman"/>
          <w:sz w:val="23"/>
          <w:szCs w:val="23"/>
        </w:rPr>
        <w:t xml:space="preserve">” demiştir. (AYM, E. 2016/166, K. 2016/159; E. 2016/167, K. 2016/160, k.t. 12.10.2016). </w:t>
      </w:r>
      <w:r w:rsidRPr="004335C6">
        <w:rPr>
          <w:rFonts w:cs="Times New Roman"/>
          <w:b/>
          <w:sz w:val="23"/>
          <w:szCs w:val="23"/>
        </w:rPr>
        <w:t>Olağanüstü hal devam ettiği sürece</w:t>
      </w:r>
      <w:r w:rsidRPr="004335C6">
        <w:rPr>
          <w:rFonts w:cs="Times New Roman"/>
          <w:sz w:val="23"/>
          <w:szCs w:val="23"/>
        </w:rPr>
        <w:t xml:space="preserve">, ki buna yargısal bir denetim olmaksızın hükümet karar vermektedir, </w:t>
      </w:r>
      <w:r w:rsidRPr="004335C6">
        <w:rPr>
          <w:rFonts w:cs="Times New Roman"/>
          <w:b/>
          <w:sz w:val="23"/>
          <w:szCs w:val="23"/>
        </w:rPr>
        <w:t>Türkiye’de herkes hukuksal korumanın dışında kalmaktadır</w:t>
      </w:r>
      <w:r w:rsidRPr="004335C6">
        <w:rPr>
          <w:rFonts w:cs="Times New Roman"/>
          <w:sz w:val="23"/>
          <w:szCs w:val="23"/>
        </w:rPr>
        <w:t>.</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Venedik Komisyonu, 6216 Sayılı Anayasa Mahkemesinin Kuruluşu ve Yargılama Usulleri Hakkında Kanun’un 45. maddesinin 3. fıkrasındaki “</w:t>
      </w:r>
      <w:r w:rsidRPr="004335C6">
        <w:rPr>
          <w:rFonts w:cs="Times New Roman"/>
          <w:i/>
          <w:sz w:val="23"/>
          <w:szCs w:val="23"/>
        </w:rPr>
        <w:t>Yasama işlemleri ile düzenleyici idari işlemler aleyhine doğrudan bireysel başvuru yapılamayacağı gibi Anayasa Mahkemesi kararları ile Anayasanın yargı denetimi dışında bıraktığı işlemler de bireysel başvurunun konusu olamaz</w:t>
      </w:r>
      <w:r w:rsidRPr="004335C6">
        <w:rPr>
          <w:rFonts w:cs="Times New Roman"/>
          <w:sz w:val="23"/>
          <w:szCs w:val="23"/>
        </w:rPr>
        <w:t>” hükmünü ve hükümetin bu konudaki açıklamasını hatırlatarak, başvuru yolunun kapalı olduğu kanaatini belli etmiştir.</w:t>
      </w:r>
      <w:r w:rsidRPr="004335C6">
        <w:rPr>
          <w:rStyle w:val="DipnotBavurusu"/>
          <w:rFonts w:cs="Times New Roman"/>
          <w:sz w:val="23"/>
          <w:szCs w:val="23"/>
        </w:rPr>
        <w:footnoteReference w:id="1"/>
      </w:r>
      <w:r w:rsidRPr="004335C6">
        <w:rPr>
          <w:rFonts w:cs="Times New Roman"/>
          <w:sz w:val="23"/>
          <w:szCs w:val="23"/>
        </w:rPr>
        <w:t xml:space="preserve"> </w:t>
      </w:r>
    </w:p>
    <w:p w:rsidR="00DA6023" w:rsidRPr="004335C6" w:rsidRDefault="00DA6023" w:rsidP="00C57BDB">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Nitekim AYM de, </w:t>
      </w:r>
      <w:r w:rsidRPr="004335C6">
        <w:rPr>
          <w:rFonts w:cs="Times New Roman"/>
          <w:b/>
          <w:sz w:val="23"/>
          <w:szCs w:val="23"/>
        </w:rPr>
        <w:t>doğrudan yasama işlemi niteliğindeki işlemler aleyhine yapılan başvuruları kabul edilemez bulmaktadır</w:t>
      </w:r>
      <w:r w:rsidRPr="004335C6">
        <w:rPr>
          <w:rFonts w:cs="Times New Roman"/>
          <w:sz w:val="23"/>
          <w:szCs w:val="23"/>
        </w:rPr>
        <w:t xml:space="preserve"> (Bkz. Umut Oran, B. No. </w:t>
      </w:r>
      <w:r w:rsidRPr="004335C6">
        <w:rPr>
          <w:rFonts w:cs="Times New Roman"/>
          <w:sz w:val="23"/>
          <w:szCs w:val="23"/>
          <w:lang w:val="en-US"/>
        </w:rPr>
        <w:t>2014/18926, 22.1.2015; Arif Güneş, B. No. 2012/837, 5.3.2013).</w:t>
      </w:r>
      <w:r w:rsidR="00C57BDB" w:rsidRPr="004335C6">
        <w:rPr>
          <w:rFonts w:cs="Times New Roman"/>
          <w:sz w:val="23"/>
          <w:szCs w:val="23"/>
          <w:lang w:val="en-US"/>
        </w:rPr>
        <w:t xml:space="preserve"> </w:t>
      </w:r>
      <w:r w:rsidRPr="004335C6">
        <w:rPr>
          <w:rFonts w:cs="Times New Roman"/>
          <w:sz w:val="23"/>
          <w:szCs w:val="23"/>
        </w:rPr>
        <w:t xml:space="preserve">Yukarıda idari yargı bölümünde incelendiği üzere Türkiye’nin her yerinde idare mahkemeleri OHAL KHK’lerinin yasa niteliğinde olduğunu, bu nedenle idari işlem sayılamayacağını ve dava konusu edilemeyeceğini kabul etmektedirler.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Dahası Anayasa Mahkemesi, Anayasa’nın yargı yolunu kapattığı durumlarda 6216 Sayılı Yasanın 3. fıkrası uyarınca inceleme yapamayacağını belirtmektedir. Buna göre, örneğin Yüksek Seçim Kurulu kararlarına karşı yapılan başvurularda AYM kendisini konu bakımından yetkisiz görmüştür (</w:t>
      </w:r>
      <w:r w:rsidRPr="004335C6">
        <w:rPr>
          <w:rFonts w:cs="Times New Roman"/>
          <w:i/>
          <w:iCs/>
          <w:sz w:val="23"/>
          <w:szCs w:val="23"/>
          <w:lang w:val="en-US"/>
        </w:rPr>
        <w:t>Atila Sertel</w:t>
      </w:r>
      <w:r w:rsidRPr="004335C6">
        <w:rPr>
          <w:rFonts w:cs="Times New Roman"/>
          <w:sz w:val="23"/>
          <w:szCs w:val="23"/>
          <w:lang w:val="en-US"/>
        </w:rPr>
        <w:t xml:space="preserve"> [GK], B. No: 2015/6723, 14/7/2015, para. 39; </w:t>
      </w:r>
      <w:r w:rsidRPr="004335C6">
        <w:rPr>
          <w:rFonts w:cs="Times New Roman"/>
          <w:i/>
          <w:iCs/>
          <w:sz w:val="23"/>
          <w:szCs w:val="23"/>
          <w:lang w:val="en-US"/>
        </w:rPr>
        <w:t>Oğuz Oyan</w:t>
      </w:r>
      <w:r w:rsidRPr="004335C6">
        <w:rPr>
          <w:rFonts w:cs="Times New Roman"/>
          <w:sz w:val="23"/>
          <w:szCs w:val="23"/>
          <w:lang w:val="en-US"/>
        </w:rPr>
        <w:t xml:space="preserve"> [GK], B. No</w:t>
      </w:r>
      <w:r w:rsidRPr="004335C6">
        <w:rPr>
          <w:rFonts w:cs="Times New Roman"/>
          <w:sz w:val="23"/>
          <w:szCs w:val="23"/>
        </w:rPr>
        <w:t xml:space="preserve">: 2015/8818, 14/7/2015, para. 27). </w:t>
      </w:r>
    </w:p>
    <w:p w:rsidR="00DA6023" w:rsidRPr="004335C6" w:rsidRDefault="00DA6023" w:rsidP="00785DBD">
      <w:pPr>
        <w:pStyle w:val="ListeParagraf"/>
        <w:numPr>
          <w:ilvl w:val="0"/>
          <w:numId w:val="12"/>
        </w:numPr>
        <w:spacing w:before="0" w:after="0"/>
        <w:ind w:left="113" w:right="113"/>
        <w:rPr>
          <w:rFonts w:cs="Times New Roman"/>
          <w:sz w:val="23"/>
          <w:szCs w:val="23"/>
        </w:rPr>
      </w:pPr>
      <w:r w:rsidRPr="004335C6">
        <w:rPr>
          <w:rFonts w:cs="Times New Roman"/>
          <w:b/>
          <w:sz w:val="23"/>
          <w:szCs w:val="23"/>
        </w:rPr>
        <w:t>Başvuru konusu olayda ise Anayasa yargısının yetkisizliği çok daha açıktır</w:t>
      </w:r>
      <w:r w:rsidRPr="004335C6">
        <w:rPr>
          <w:rFonts w:cs="Times New Roman"/>
          <w:sz w:val="23"/>
          <w:szCs w:val="23"/>
        </w:rPr>
        <w:t>. Anayasa açıkça OHAL KHK</w:t>
      </w:r>
      <w:r w:rsidR="00823C2B" w:rsidRPr="004335C6">
        <w:rPr>
          <w:rFonts w:cs="Times New Roman"/>
          <w:sz w:val="23"/>
          <w:szCs w:val="23"/>
        </w:rPr>
        <w:t>’</w:t>
      </w:r>
      <w:r w:rsidRPr="004335C6">
        <w:rPr>
          <w:rFonts w:cs="Times New Roman"/>
          <w:sz w:val="23"/>
          <w:szCs w:val="23"/>
        </w:rPr>
        <w:t>leri aleyhine AYM</w:t>
      </w:r>
      <w:r w:rsidR="00823C2B" w:rsidRPr="004335C6">
        <w:rPr>
          <w:rFonts w:cs="Times New Roman"/>
          <w:sz w:val="23"/>
          <w:szCs w:val="23"/>
        </w:rPr>
        <w:t>’</w:t>
      </w:r>
      <w:r w:rsidRPr="004335C6">
        <w:rPr>
          <w:rFonts w:cs="Times New Roman"/>
          <w:sz w:val="23"/>
          <w:szCs w:val="23"/>
        </w:rPr>
        <w:t xml:space="preserve">ye dava açılamayacağını belirtmektedir. AYM de yukarıda alıntılanan kararlarında, hiçbir şekilde OHAL KHK’lerini inceleyemeyeceğini açıkça belirtmektedir. </w:t>
      </w:r>
      <w:r w:rsidRPr="004335C6">
        <w:rPr>
          <w:rFonts w:cs="Times New Roman"/>
          <w:b/>
          <w:sz w:val="23"/>
          <w:szCs w:val="23"/>
        </w:rPr>
        <w:t>Başvurucunun ismi, Anayasa’ya aykırılığı ileri sürülemeyen KHK</w:t>
      </w:r>
      <w:r w:rsidR="00823C2B" w:rsidRPr="004335C6">
        <w:rPr>
          <w:rFonts w:cs="Times New Roman"/>
          <w:b/>
          <w:sz w:val="23"/>
          <w:szCs w:val="23"/>
        </w:rPr>
        <w:t>’</w:t>
      </w:r>
      <w:r w:rsidRPr="004335C6">
        <w:rPr>
          <w:rFonts w:cs="Times New Roman"/>
          <w:b/>
          <w:sz w:val="23"/>
          <w:szCs w:val="23"/>
        </w:rPr>
        <w:t>de sayılmaktadır</w:t>
      </w:r>
      <w:r w:rsidRPr="004335C6">
        <w:rPr>
          <w:rFonts w:cs="Times New Roman"/>
          <w:sz w:val="23"/>
          <w:szCs w:val="23"/>
        </w:rPr>
        <w:t xml:space="preserve">. Bu KHK iptal edilmediği sürece </w:t>
      </w:r>
      <w:r w:rsidR="00823C2B" w:rsidRPr="004335C6">
        <w:rPr>
          <w:rFonts w:cs="Times New Roman"/>
          <w:sz w:val="23"/>
          <w:szCs w:val="23"/>
        </w:rPr>
        <w:t>B</w:t>
      </w:r>
      <w:r w:rsidRPr="004335C6">
        <w:rPr>
          <w:rFonts w:cs="Times New Roman"/>
          <w:sz w:val="23"/>
          <w:szCs w:val="23"/>
        </w:rPr>
        <w:t>aşvurucunun bireysel durumunun da düzeltilmesi imkanı bulunmamaktadır. Bu iptali de bireysel başvuru yoluyla sağlamak mümkün değildir, çünkü AYM kendi içtihadında açıkça bu tür başvuruları konu bakımından incelemesinin mümkün olmadığına karar vermiştir.</w:t>
      </w:r>
      <w:r w:rsidR="008F711E" w:rsidRPr="000F2A1A">
        <w:rPr>
          <w:rFonts w:cs="Times New Roman"/>
          <w:sz w:val="23"/>
          <w:szCs w:val="23"/>
          <w:highlight w:val="yellow"/>
        </w:rPr>
        <w:t>686</w:t>
      </w:r>
      <w:r w:rsidRPr="000F2A1A">
        <w:rPr>
          <w:rFonts w:cs="Times New Roman"/>
          <w:sz w:val="23"/>
          <w:szCs w:val="23"/>
          <w:highlight w:val="yellow"/>
        </w:rPr>
        <w:t xml:space="preserve"> Sayılı KHK</w:t>
      </w:r>
      <w:r w:rsidRPr="004335C6">
        <w:rPr>
          <w:rFonts w:cs="Times New Roman"/>
          <w:sz w:val="23"/>
          <w:szCs w:val="23"/>
        </w:rPr>
        <w:t xml:space="preserve"> maddi olarak bir idari düzenleyici işlem olmakla birlikte fonksiyonel olarak bir yasama işlemidir.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Zihni başvurusunda, AİHM ayrıca AYM’ye güven konusunda sadece başvurucunun kaygılarının AYM’ye başvuru yükümlülüğünü ortadan kaldırmayacağını belirtmiştir. </w:t>
      </w:r>
      <w:r w:rsidRPr="004335C6">
        <w:rPr>
          <w:rFonts w:cs="Times New Roman"/>
          <w:b/>
          <w:sz w:val="23"/>
          <w:szCs w:val="23"/>
        </w:rPr>
        <w:t>Başvurucunun bu kaygıların kaynağını açıkça ortaya koyamadığı görülmektedir</w:t>
      </w:r>
      <w:r w:rsidRPr="004335C6">
        <w:rPr>
          <w:rFonts w:cs="Times New Roman"/>
          <w:sz w:val="23"/>
          <w:szCs w:val="23"/>
        </w:rPr>
        <w:t>. Mevcut başvuruda bu kaygının, sübjektif değil objektif dayanaklarının olduğu gösterilecektir.</w:t>
      </w:r>
      <w:r w:rsidRPr="004335C6">
        <w:rPr>
          <w:rFonts w:cs="Times New Roman"/>
          <w:sz w:val="23"/>
          <w:szCs w:val="23"/>
          <w:lang w:val="en-US"/>
        </w:rPr>
        <w:t xml:space="preserve">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AYM </w:t>
      </w:r>
      <w:r w:rsidRPr="004335C6">
        <w:rPr>
          <w:rFonts w:cs="Times New Roman"/>
          <w:b/>
          <w:sz w:val="23"/>
          <w:szCs w:val="23"/>
        </w:rPr>
        <w:t>bizzat kendi üyelerinin kamu görevinden çıkarılmasına ilişkin verdiği kararda</w:t>
      </w:r>
      <w:r w:rsidRPr="004335C6">
        <w:rPr>
          <w:rFonts w:cs="Times New Roman"/>
          <w:sz w:val="23"/>
          <w:szCs w:val="23"/>
        </w:rPr>
        <w:t>, etkili bir hukuki denetim yapmayacağını çok açık bir şekilde göstermiştir. 667 Sayılı KHK</w:t>
      </w:r>
      <w:r w:rsidR="00823C2B" w:rsidRPr="004335C6">
        <w:rPr>
          <w:rFonts w:cs="Times New Roman"/>
          <w:sz w:val="23"/>
          <w:szCs w:val="23"/>
        </w:rPr>
        <w:t>’</w:t>
      </w:r>
      <w:r w:rsidRPr="004335C6">
        <w:rPr>
          <w:rFonts w:cs="Times New Roman"/>
          <w:sz w:val="23"/>
          <w:szCs w:val="23"/>
        </w:rPr>
        <w:t>nin 3. maddesi uyarınca “</w:t>
      </w:r>
      <w:r w:rsidRPr="004335C6">
        <w:rPr>
          <w:rFonts w:cs="Times New Roman"/>
          <w:i/>
          <w:sz w:val="23"/>
          <w:szCs w:val="23"/>
        </w:rPr>
        <w:t>Terör örgütlerine veya Milli Güvenlik Kurulunca Devletin milli güvenliğine karşı faaliyette bulunduğuna karar verilen yapı, oluşum veya gruplara üyeliği, mensubiyeti veya iltisakı yahut bunlarla irtibatı olduğu değerlendirilen Anayasa Mahkemesi üyeleri hakkında Anayasa Mahkemesi Genel Kurulunun salt çoğunluğunc</w:t>
      </w:r>
      <w:r w:rsidRPr="004335C6">
        <w:rPr>
          <w:rFonts w:cs="Times New Roman"/>
          <w:sz w:val="23"/>
          <w:szCs w:val="23"/>
        </w:rPr>
        <w:t>a” karar verilebilecektir. AYM iki üyesinin bu hüküm uyarınca ihracına karar verirken, KHK</w:t>
      </w:r>
      <w:r w:rsidR="00823C2B" w:rsidRPr="004335C6">
        <w:rPr>
          <w:rFonts w:cs="Times New Roman"/>
          <w:sz w:val="23"/>
          <w:szCs w:val="23"/>
        </w:rPr>
        <w:t>’</w:t>
      </w:r>
      <w:r w:rsidRPr="004335C6">
        <w:rPr>
          <w:rFonts w:cs="Times New Roman"/>
          <w:sz w:val="23"/>
          <w:szCs w:val="23"/>
        </w:rPr>
        <w:t xml:space="preserve">ye göre adil yargılama ilkelerine uygun </w:t>
      </w:r>
      <w:r w:rsidRPr="004335C6">
        <w:rPr>
          <w:rFonts w:cs="Times New Roman"/>
          <w:sz w:val="23"/>
          <w:szCs w:val="23"/>
        </w:rPr>
        <w:lastRenderedPageBreak/>
        <w:t>davranmanın gerekmediğini saptamıştır</w:t>
      </w:r>
      <w:r w:rsidRPr="004335C6">
        <w:rPr>
          <w:rFonts w:cs="Times New Roman"/>
          <w:i/>
          <w:sz w:val="23"/>
          <w:szCs w:val="23"/>
        </w:rPr>
        <w:t xml:space="preserve"> </w:t>
      </w:r>
      <w:r w:rsidRPr="004335C6">
        <w:rPr>
          <w:rFonts w:cs="Times New Roman"/>
          <w:sz w:val="23"/>
          <w:szCs w:val="23"/>
        </w:rPr>
        <w:t>(AYM, Genel Kurul, 2016/6 (Değişik İş), K. 2016/12, k.t. 4.8.2016).</w:t>
      </w:r>
    </w:p>
    <w:p w:rsidR="00DA6023" w:rsidRPr="004335C6" w:rsidRDefault="00DA6023" w:rsidP="00836466">
      <w:pPr>
        <w:ind w:left="113" w:right="113"/>
        <w:rPr>
          <w:rFonts w:cs="Times New Roman"/>
          <w:b/>
          <w:sz w:val="23"/>
          <w:szCs w:val="23"/>
        </w:rPr>
      </w:pPr>
      <w:r w:rsidRPr="004335C6">
        <w:rPr>
          <w:rFonts w:cs="Times New Roman"/>
          <w:b/>
          <w:sz w:val="23"/>
          <w:szCs w:val="23"/>
        </w:rPr>
        <w:t>Olağanüstü Hal İşlemleri İnceleme Komisyonu Açısından</w:t>
      </w:r>
    </w:p>
    <w:p w:rsidR="00515C5B" w:rsidRPr="004335C6" w:rsidRDefault="00515C5B"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Köksal/Türkiye kararında AİH</w:t>
      </w:r>
      <w:r w:rsidR="000F2A1A">
        <w:rPr>
          <w:rFonts w:cs="Times New Roman"/>
          <w:sz w:val="23"/>
          <w:szCs w:val="23"/>
        </w:rPr>
        <w:t>M</w:t>
      </w:r>
      <w:r w:rsidRPr="004335C6">
        <w:rPr>
          <w:rFonts w:cs="Times New Roman"/>
          <w:sz w:val="23"/>
          <w:szCs w:val="23"/>
        </w:rPr>
        <w:t xml:space="preserve"> hiçbir ayrıntısını tartışmadan Olağanüstü Hal İşlemleri İnceleme Komisyonunu (OHAL Komisyonu) etkili hukuk yolu olarak kabul etmiştir.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685 Sayılı KHK ile aşağıda ayrıntıları verilen Olağanüstü Hal İşlemleri İnceleme Komisyonu (OHAL Komisyonu) kurulmuştur. Bu KHK</w:t>
      </w:r>
      <w:r w:rsidR="00823C2B" w:rsidRPr="004335C6">
        <w:rPr>
          <w:rFonts w:cs="Times New Roman"/>
          <w:sz w:val="23"/>
          <w:szCs w:val="23"/>
        </w:rPr>
        <w:t>’</w:t>
      </w:r>
      <w:r w:rsidRPr="004335C6">
        <w:rPr>
          <w:rFonts w:cs="Times New Roman"/>
          <w:sz w:val="23"/>
          <w:szCs w:val="23"/>
        </w:rPr>
        <w:t xml:space="preserve">ye göre, “terör örgütlerine veya Milli Güvenlik Kurulunca Devletin milli güvenliğine karşı faaliyette bulunduğuna karar verilen yapı, oluşum veya gruplara üyeliği, </w:t>
      </w:r>
      <w:r w:rsidRPr="004335C6">
        <w:rPr>
          <w:rFonts w:cs="Times New Roman"/>
          <w:b/>
          <w:sz w:val="23"/>
          <w:szCs w:val="23"/>
        </w:rPr>
        <w:t>mensubiyeti, aidiyeti, iltisakı veya bunlarla irtibatı</w:t>
      </w:r>
      <w:r w:rsidRPr="004335C6">
        <w:rPr>
          <w:rFonts w:cs="Times New Roman"/>
          <w:sz w:val="23"/>
          <w:szCs w:val="23"/>
        </w:rPr>
        <w:t xml:space="preserve"> olduğu gerekçesiyle başka bir idari işlem tesis edilmeksizin doğrudan kanun hükmünde kararname hükümleri ile tesis edilen işlemlere” karşı başvuru imkanı tanınmıştır. </w:t>
      </w:r>
    </w:p>
    <w:p w:rsidR="00DA6023" w:rsidRPr="004335C6" w:rsidRDefault="008F711E"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Her ne kadar Komisyonun üyelerinin KHK’nin çıkmasından itibaren bir ay içinde atanacağı </w:t>
      </w:r>
      <w:r w:rsidR="008D5D89" w:rsidRPr="004335C6">
        <w:rPr>
          <w:rFonts w:cs="Times New Roman"/>
          <w:sz w:val="23"/>
          <w:szCs w:val="23"/>
        </w:rPr>
        <w:t xml:space="preserve">Geçici 1. maddede ifade edilmişse de atama ancak 4 ay sonra yapılabilmiştir. Halen Komisyon başvuruları almaya ve incelemeye başlamamıştır. </w:t>
      </w:r>
    </w:p>
    <w:p w:rsidR="004335C6"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Ekte sunulan akademik görüşte ayrıntılı olarak gösterildiği üzere</w:t>
      </w:r>
      <w:r w:rsidR="008D5D89" w:rsidRPr="004335C6">
        <w:rPr>
          <w:rFonts w:cs="Times New Roman"/>
          <w:sz w:val="23"/>
          <w:szCs w:val="23"/>
        </w:rPr>
        <w:t xml:space="preserve"> (</w:t>
      </w:r>
      <w:r w:rsidR="00986FAD" w:rsidRPr="00F4559F">
        <w:rPr>
          <w:rFonts w:cs="Times New Roman"/>
          <w:sz w:val="23"/>
          <w:szCs w:val="23"/>
          <w:highlight w:val="cyan"/>
        </w:rPr>
        <w:t>Ek-9</w:t>
      </w:r>
      <w:r w:rsidR="008D5D89" w:rsidRPr="004335C6">
        <w:rPr>
          <w:rFonts w:cs="Times New Roman"/>
          <w:sz w:val="23"/>
          <w:szCs w:val="23"/>
        </w:rPr>
        <w:t>)</w:t>
      </w:r>
      <w:r w:rsidRPr="004335C6">
        <w:rPr>
          <w:rFonts w:cs="Times New Roman"/>
          <w:sz w:val="23"/>
          <w:szCs w:val="23"/>
        </w:rPr>
        <w:t xml:space="preserve"> 685 Sayılı KHK ile getirilen Komisyon hem AİHM içtihadına hem de Venedik Komisyonu ölçütlerine aykırı bir şekilde oluşturulmuştur. </w:t>
      </w:r>
    </w:p>
    <w:p w:rsidR="008753A5" w:rsidRDefault="004335C6" w:rsidP="008753A5">
      <w:pPr>
        <w:pStyle w:val="ListeParagraf"/>
        <w:numPr>
          <w:ilvl w:val="0"/>
          <w:numId w:val="12"/>
        </w:numPr>
        <w:spacing w:before="0" w:after="0"/>
        <w:ind w:left="113" w:right="113"/>
        <w:rPr>
          <w:rFonts w:cs="Times New Roman"/>
          <w:sz w:val="23"/>
          <w:szCs w:val="23"/>
        </w:rPr>
      </w:pPr>
      <w:r w:rsidRPr="004335C6">
        <w:rPr>
          <w:rFonts w:cs="Times New Roman"/>
          <w:sz w:val="23"/>
          <w:szCs w:val="23"/>
        </w:rPr>
        <w:t>Bununla birlikte, Komisyonun Köksal kararında olduğu gibi kamu hizmetinden ihraç vakaları bakımında etkili bir hukuk yolu olduğu varsayılsa bile işbu başvurudaki ihlaller bakımından etkili bir giderim sağlamayacağı açıktır.</w:t>
      </w:r>
      <w:r w:rsidR="00E46036">
        <w:rPr>
          <w:rFonts w:cs="Times New Roman"/>
          <w:sz w:val="23"/>
          <w:szCs w:val="23"/>
        </w:rPr>
        <w:t xml:space="preserve"> Bu yönüyle, başvurucunun da arasında bulunduğu “Barış için Akademisyenler”in durumu Komisyona başvurucak ve Köksal kararında esas alınan onbinlerce kamu çalışanından ayrılmaktadır. </w:t>
      </w:r>
    </w:p>
    <w:p w:rsidR="00E46036" w:rsidRDefault="008753A5" w:rsidP="008753A5">
      <w:pPr>
        <w:pStyle w:val="ListeParagraf"/>
        <w:numPr>
          <w:ilvl w:val="0"/>
          <w:numId w:val="12"/>
        </w:numPr>
        <w:spacing w:before="0" w:after="0"/>
        <w:ind w:left="113" w:right="113"/>
        <w:rPr>
          <w:rFonts w:cs="Times New Roman"/>
          <w:sz w:val="23"/>
          <w:szCs w:val="23"/>
        </w:rPr>
      </w:pPr>
      <w:r>
        <w:rPr>
          <w:rFonts w:cs="Times New Roman"/>
          <w:sz w:val="23"/>
          <w:szCs w:val="23"/>
        </w:rPr>
        <w:t>Bu başvurunun ana konusunu akademisyen olan başvurucunun devletin insan hakları ihlallerine ilişkin eleştirileri nedeniyle cezalandırılması oluşturmaktadır. Başvurucu, bu konuya ilişkin görüş beyan ettiği için sürekli bir soruşturma tehdidi altındadır. OHAL Komisyonu</w:t>
      </w:r>
      <w:r w:rsidR="00E46036">
        <w:rPr>
          <w:rFonts w:cs="Times New Roman"/>
          <w:sz w:val="23"/>
          <w:szCs w:val="23"/>
        </w:rPr>
        <w:t>nun</w:t>
      </w:r>
      <w:r>
        <w:rPr>
          <w:rFonts w:cs="Times New Roman"/>
          <w:sz w:val="23"/>
          <w:szCs w:val="23"/>
        </w:rPr>
        <w:t xml:space="preserve"> ne geçmişe yönelik olarak bu ihlali ortadan kaldırma ne de geleceğe yönelik olarak </w:t>
      </w:r>
      <w:r w:rsidR="00E46036">
        <w:rPr>
          <w:rFonts w:cs="Times New Roman"/>
          <w:sz w:val="23"/>
          <w:szCs w:val="23"/>
        </w:rPr>
        <w:t xml:space="preserve">bu tehditleri bertaraf etme imkanı yoktur. </w:t>
      </w:r>
    </w:p>
    <w:p w:rsidR="00E46036" w:rsidRDefault="00E46036" w:rsidP="008753A5">
      <w:pPr>
        <w:pStyle w:val="ListeParagraf"/>
        <w:numPr>
          <w:ilvl w:val="0"/>
          <w:numId w:val="12"/>
        </w:numPr>
        <w:spacing w:before="0" w:after="0"/>
        <w:ind w:left="113" w:right="113"/>
        <w:rPr>
          <w:rFonts w:cs="Times New Roman"/>
          <w:sz w:val="23"/>
          <w:szCs w:val="23"/>
        </w:rPr>
      </w:pPr>
      <w:r>
        <w:rPr>
          <w:rFonts w:cs="Times New Roman"/>
          <w:sz w:val="23"/>
          <w:szCs w:val="23"/>
        </w:rPr>
        <w:t xml:space="preserve">AİHM daha önce de pilot kararlarla sistemik sorunları iç hukuka yönlendirmiştir. </w:t>
      </w:r>
      <w:r w:rsidR="000F2A1A">
        <w:rPr>
          <w:rFonts w:cs="Times New Roman"/>
          <w:sz w:val="23"/>
          <w:szCs w:val="23"/>
        </w:rPr>
        <w:t>Ö</w:t>
      </w:r>
      <w:r w:rsidRPr="004335C6">
        <w:rPr>
          <w:rFonts w:cs="Times New Roman"/>
          <w:sz w:val="23"/>
          <w:szCs w:val="23"/>
        </w:rPr>
        <w:t>zellikle makul sürede yargılanma hakkının ihlali,</w:t>
      </w:r>
      <w:r w:rsidRPr="004335C6">
        <w:rPr>
          <w:rStyle w:val="DipnotBavurusu"/>
          <w:rFonts w:cs="Times New Roman"/>
          <w:sz w:val="23"/>
          <w:szCs w:val="23"/>
        </w:rPr>
        <w:footnoteReference w:id="2"/>
      </w:r>
      <w:r w:rsidRPr="004335C6">
        <w:rPr>
          <w:rFonts w:cs="Times New Roman"/>
          <w:sz w:val="23"/>
          <w:szCs w:val="23"/>
        </w:rPr>
        <w:t xml:space="preserve"> geçmişte gerçekleşmiş mülkiyet hakkı ihlallerinin tazminat yoluyla çözümü,</w:t>
      </w:r>
      <w:r w:rsidRPr="004335C6">
        <w:rPr>
          <w:rStyle w:val="DipnotBavurusu"/>
          <w:rFonts w:cs="Times New Roman"/>
          <w:sz w:val="23"/>
          <w:szCs w:val="23"/>
        </w:rPr>
        <w:footnoteReference w:id="3"/>
      </w:r>
      <w:r w:rsidRPr="004335C6">
        <w:rPr>
          <w:rFonts w:cs="Times New Roman"/>
          <w:sz w:val="23"/>
          <w:szCs w:val="23"/>
        </w:rPr>
        <w:t xml:space="preserve"> uzun süre uygulanmayan mahkeme kararlarının yol açtığı ihlaller,</w:t>
      </w:r>
      <w:r w:rsidRPr="004335C6">
        <w:rPr>
          <w:rStyle w:val="DipnotBavurusu"/>
          <w:rFonts w:cs="Times New Roman"/>
          <w:sz w:val="23"/>
          <w:szCs w:val="23"/>
        </w:rPr>
        <w:footnoteReference w:id="4"/>
      </w:r>
      <w:r w:rsidRPr="004335C6">
        <w:rPr>
          <w:rFonts w:cs="Times New Roman"/>
          <w:sz w:val="23"/>
          <w:szCs w:val="23"/>
        </w:rPr>
        <w:t xml:space="preserve"> hapishane koşullarından kaynaklanan kötü muamele</w:t>
      </w:r>
      <w:r w:rsidRPr="004335C6">
        <w:rPr>
          <w:rStyle w:val="DipnotBavurusu"/>
          <w:rFonts w:cs="Times New Roman"/>
          <w:sz w:val="23"/>
          <w:szCs w:val="23"/>
        </w:rPr>
        <w:footnoteReference w:id="5"/>
      </w:r>
      <w:r w:rsidRPr="004335C6">
        <w:rPr>
          <w:rFonts w:cs="Times New Roman"/>
          <w:sz w:val="23"/>
          <w:szCs w:val="23"/>
        </w:rPr>
        <w:t xml:space="preserve"> gibi konularda AİHM’in pilot karar yoluyla hükümetlerin sunduğu yarı yargısal mekanizmaları etkili hukuk yolu olarak kabul ettiği görülmektedir. Fakat, </w:t>
      </w:r>
      <w:r w:rsidRPr="004335C6">
        <w:rPr>
          <w:rFonts w:cs="Times New Roman"/>
          <w:b/>
          <w:sz w:val="23"/>
          <w:szCs w:val="23"/>
        </w:rPr>
        <w:t>OHAL Komisyonu AİHM’in daha önce pilot karar yöntemiyle kabul ettiği ihlal sonrası kurulan iç hukuk yollarının hiçbirine de benzememektedir</w:t>
      </w:r>
      <w:r w:rsidRPr="004335C6">
        <w:rPr>
          <w:rFonts w:cs="Times New Roman"/>
          <w:sz w:val="23"/>
          <w:szCs w:val="23"/>
        </w:rPr>
        <w:t>. Tüm bu vakalarda, kişilerin durumu hemen hemen aynıdır, o nedenle kurulan iç hukuk yolunun ayrı bir soruşturma, inceleme yapması beklenmemekte, ihlal varsa matematiksel bir hesapla karar verilmektedir.</w:t>
      </w:r>
    </w:p>
    <w:p w:rsidR="00E46036" w:rsidRDefault="00E46036" w:rsidP="008753A5">
      <w:pPr>
        <w:pStyle w:val="ListeParagraf"/>
        <w:numPr>
          <w:ilvl w:val="0"/>
          <w:numId w:val="12"/>
        </w:numPr>
        <w:spacing w:before="0" w:after="0"/>
        <w:ind w:left="113" w:right="113"/>
        <w:rPr>
          <w:rFonts w:cs="Times New Roman"/>
          <w:sz w:val="23"/>
          <w:szCs w:val="23"/>
        </w:rPr>
      </w:pPr>
      <w:r>
        <w:rPr>
          <w:rFonts w:cs="Times New Roman"/>
          <w:sz w:val="23"/>
          <w:szCs w:val="23"/>
        </w:rPr>
        <w:t xml:space="preserve">OHAL Komisyonunun karar vereceği konuların bir kısmı bu örneklere benzese de başvurucu ve diğer barış için akademisyenlerin durumu bu örneklerle farklılık göstermektedir. </w:t>
      </w:r>
    </w:p>
    <w:p w:rsidR="00E46036" w:rsidRPr="004335C6" w:rsidRDefault="00E46036" w:rsidP="00E46036">
      <w:pPr>
        <w:pStyle w:val="ListeParagraf"/>
        <w:numPr>
          <w:ilvl w:val="0"/>
          <w:numId w:val="12"/>
        </w:numPr>
        <w:spacing w:before="0" w:after="0"/>
        <w:ind w:left="113" w:right="113"/>
        <w:rPr>
          <w:rFonts w:cs="Times New Roman"/>
          <w:sz w:val="23"/>
          <w:szCs w:val="23"/>
        </w:rPr>
      </w:pPr>
      <w:r>
        <w:rPr>
          <w:rFonts w:cs="Times New Roman"/>
          <w:sz w:val="23"/>
          <w:szCs w:val="23"/>
        </w:rPr>
        <w:t>B</w:t>
      </w:r>
      <w:r w:rsidRPr="004335C6">
        <w:rPr>
          <w:rFonts w:cs="Times New Roman"/>
          <w:sz w:val="23"/>
          <w:szCs w:val="23"/>
        </w:rPr>
        <w:t xml:space="preserve">azı haklar nitelikleri itibarıyla sonradan kurulan ve mekanik karar veren idari başvuru yolları tarafından incelenemez. Örneğin etkili soruşturma yapmayı gerektiren yaşam </w:t>
      </w:r>
      <w:r w:rsidRPr="004335C6">
        <w:rPr>
          <w:rFonts w:cs="Times New Roman"/>
          <w:sz w:val="23"/>
          <w:szCs w:val="23"/>
        </w:rPr>
        <w:lastRenderedPageBreak/>
        <w:t>hakkı ihlalleri için sonradan kurulan tazminat komisyonları AİHM tarafından uygun ve yeterli görülmemiştir (Gasyak ve Diğerleri/Türkiye, no. 13.10.2009, para. 70-71 ve Turan Karabulut/Türkiye, 27.5.2010, para. 38-39)</w:t>
      </w:r>
    </w:p>
    <w:p w:rsidR="00DA6023" w:rsidRPr="000F2A1A" w:rsidRDefault="00E46036" w:rsidP="00E46036">
      <w:pPr>
        <w:pStyle w:val="ListeParagraf"/>
        <w:numPr>
          <w:ilvl w:val="0"/>
          <w:numId w:val="12"/>
        </w:numPr>
        <w:spacing w:before="0" w:after="0"/>
        <w:ind w:left="113" w:right="113"/>
        <w:rPr>
          <w:rFonts w:cs="Times New Roman"/>
          <w:sz w:val="23"/>
          <w:szCs w:val="23"/>
        </w:rPr>
      </w:pPr>
      <w:r w:rsidRPr="004335C6">
        <w:rPr>
          <w:rFonts w:cs="Times New Roman"/>
          <w:sz w:val="23"/>
          <w:szCs w:val="23"/>
        </w:rPr>
        <w:t>İfade özgürlüğü de niteliği itibarıyla bu tip haklardandır. İfade özgürlüğü davalarında ulusal hukuk yolunun etkili sayılabilmesi için devletin kusurunun esas bakımından tespit edilip, gerekli giderimin sağlanması gerekir. AİHM, Fevzi Saygılı/Türkiye davasında, hükümetin başvurucunun 5233 Sayılı Yasa ile kurulan Tazminat Komisyonuna başvurmadığı için iç hukuk yolunu tüketmediği iddiasına ilişkin olarak, ifade özgürlüğü ihlalinin ileri sürüldüğü başvuruda ulusal makamların açıkça veya esasta Sözleşmenin ihlal edildiğini kabul edip uygun bir giderim sağlamadıkları durumda mağduriyet halinin ortadan kalkmayacağını saptamıştır. (Fevzi Saygılı/Türkiye, no. 74243/01, 08.01.2008, para. 23). Sarıgül/Türkiye başvurusunda da başvurucunun, 6384 Sayılı Yasayla kurulmuş Tazminat Komisyonuna başvurmamış olması iç hukuk yollarını tüketme kuralına aykırı görülmemiştir. Başvurucunun ifade özgürlüğüne ilişkin ihlal iddiasını inceleme yetkisi olmayan Komisyonun bu mağduriyeti giderme ihtimali de bulunmamaktadır. (Sarıgül/Türkiye, no. 28691/05, 23.5.2017, para. 34-38)</w:t>
      </w:r>
    </w:p>
    <w:p w:rsidR="00DA6023" w:rsidRPr="004335C6" w:rsidRDefault="00E46036" w:rsidP="00836466">
      <w:pPr>
        <w:pStyle w:val="ListeParagraf"/>
        <w:numPr>
          <w:ilvl w:val="0"/>
          <w:numId w:val="12"/>
        </w:numPr>
        <w:spacing w:before="0" w:after="0"/>
        <w:ind w:left="113" w:right="113"/>
        <w:rPr>
          <w:rFonts w:cs="Times New Roman"/>
          <w:sz w:val="23"/>
          <w:szCs w:val="23"/>
        </w:rPr>
      </w:pPr>
      <w:r>
        <w:rPr>
          <w:rFonts w:cs="Times New Roman"/>
          <w:sz w:val="23"/>
          <w:szCs w:val="23"/>
        </w:rPr>
        <w:t xml:space="preserve">Başvurucu, ifade özgürlüğünün ihlal edildiği iddiasındadır. </w:t>
      </w:r>
      <w:r w:rsidR="00DA6023" w:rsidRPr="004335C6">
        <w:rPr>
          <w:rFonts w:cs="Times New Roman"/>
          <w:sz w:val="23"/>
          <w:szCs w:val="23"/>
        </w:rPr>
        <w:t xml:space="preserve">100.000 üzerinde OHAL işlemine 2 </w:t>
      </w:r>
      <w:r w:rsidR="008D5D89" w:rsidRPr="004335C6">
        <w:rPr>
          <w:rFonts w:cs="Times New Roman"/>
          <w:sz w:val="23"/>
          <w:szCs w:val="23"/>
        </w:rPr>
        <w:t>yıllık</w:t>
      </w:r>
      <w:r w:rsidR="00DA6023" w:rsidRPr="004335C6">
        <w:rPr>
          <w:rFonts w:cs="Times New Roman"/>
          <w:sz w:val="23"/>
          <w:szCs w:val="23"/>
        </w:rPr>
        <w:t xml:space="preserve"> sürede 7 kişilik bir Komisyonun bakması beklenmektedir. Bu aslında işlemin, KHK uyarınca Başbakanlık tarafından atanacak Sekretarya tarafından bakılacağını göstermektedir. Esasa ilişkin değerlendirmelerimizde ifade edildiği gibi KHK uyarınca ihraçlar, AİHS içtihadı uyarınca “cezai isnat” niteliği taşımaktadır. Başvurucu dahil ihraç edilen hiçbir kamu görevlisine resmi olarak bir suçlama yöneltilmemiş, savunma hakkı verilmemiştir. Komisyonun çalışma yöntemi, ihraca yol açan bu usul eksikliklerini gidermekten tamamen uzaktır. KHK’nin 9. maddesine göre “Komisyon incelemelerini dosya üzerinden yapar”. Hakkında ne suçlama bile olduğunu bilmeyen başvurucunun, dosya üzerinden yapılacak bir inceleme</w:t>
      </w:r>
      <w:r w:rsidR="00A12BB9" w:rsidRPr="004335C6">
        <w:rPr>
          <w:rFonts w:cs="Times New Roman"/>
          <w:sz w:val="23"/>
          <w:szCs w:val="23"/>
        </w:rPr>
        <w:t xml:space="preserve">den ne fayda elde edeceği </w:t>
      </w:r>
      <w:r w:rsidR="00DA6023" w:rsidRPr="004335C6">
        <w:rPr>
          <w:rFonts w:cs="Times New Roman"/>
          <w:sz w:val="23"/>
          <w:szCs w:val="23"/>
        </w:rPr>
        <w:t xml:space="preserve">belirsizdir. Kişi hakkındaki suçlamanın dayanağını </w:t>
      </w:r>
      <w:r w:rsidR="00A12BB9" w:rsidRPr="004335C6">
        <w:rPr>
          <w:rFonts w:cs="Times New Roman"/>
          <w:sz w:val="23"/>
          <w:szCs w:val="23"/>
        </w:rPr>
        <w:t xml:space="preserve">ve delilleri görmediği için Komisyonun neye göre </w:t>
      </w:r>
      <w:r w:rsidR="00DA6023" w:rsidRPr="004335C6">
        <w:rPr>
          <w:rFonts w:cs="Times New Roman"/>
          <w:sz w:val="23"/>
          <w:szCs w:val="23"/>
        </w:rPr>
        <w:t>göre sonuca ulaştığını</w:t>
      </w:r>
      <w:r w:rsidR="00A12BB9" w:rsidRPr="004335C6">
        <w:rPr>
          <w:rFonts w:cs="Times New Roman"/>
          <w:sz w:val="23"/>
          <w:szCs w:val="23"/>
        </w:rPr>
        <w:t xml:space="preserve"> da</w:t>
      </w:r>
      <w:r w:rsidR="00DA6023" w:rsidRPr="004335C6">
        <w:rPr>
          <w:rFonts w:cs="Times New Roman"/>
          <w:sz w:val="23"/>
          <w:szCs w:val="23"/>
        </w:rPr>
        <w:t xml:space="preserve"> </w:t>
      </w:r>
      <w:r w:rsidR="00A12BB9" w:rsidRPr="004335C6">
        <w:rPr>
          <w:rFonts w:cs="Times New Roman"/>
          <w:sz w:val="23"/>
          <w:szCs w:val="23"/>
        </w:rPr>
        <w:t>bilemeyecektir</w:t>
      </w:r>
      <w:r w:rsidR="00DA6023" w:rsidRPr="004335C6">
        <w:rPr>
          <w:rFonts w:cs="Times New Roman"/>
          <w:sz w:val="23"/>
          <w:szCs w:val="23"/>
        </w:rPr>
        <w:t xml:space="preserve">. Bu durum karşısında yapacağı başvuru savunma hakkının kullanılması anlamına gelmeyecek sadece, idarenin elinde olan dosyanın tekrar incelenmesini istemekten ibaret kalacaktır. </w:t>
      </w:r>
    </w:p>
    <w:p w:rsidR="00DA6023" w:rsidRPr="004335C6"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Silahların eşitliği ilkesi, taraflara karşı taraf karşısında ciddi bir dezavantaja uğramaksızın davasını ileri sürme konusunda makul bir imkanın verilmesini gerektirir. AİHM, usul kurallarının birincil amacının sanığı otoritenin kötüye kullanılmasına karşı korumak olduğunu belirtmektedir.</w:t>
      </w:r>
      <w:r w:rsidRPr="004335C6">
        <w:rPr>
          <w:rStyle w:val="DipnotBavurusu"/>
          <w:rFonts w:cs="Times New Roman"/>
          <w:sz w:val="23"/>
          <w:szCs w:val="23"/>
        </w:rPr>
        <w:footnoteReference w:id="6"/>
      </w:r>
      <w:r w:rsidRPr="004335C6">
        <w:rPr>
          <w:rFonts w:cs="Times New Roman"/>
          <w:sz w:val="23"/>
          <w:szCs w:val="23"/>
        </w:rPr>
        <w:t xml:space="preserve"> Bunun yanında, yargılama hem hukuk hem de ceza davalarında çekişmeli olarak yürütülmeli ve taraflara karşı tarafın sunduğu delil ve argümanlara cevap verme imkanı sunulmalıdır.</w:t>
      </w:r>
      <w:r w:rsidRPr="004335C6">
        <w:rPr>
          <w:rStyle w:val="DipnotBavurusu"/>
          <w:rFonts w:cs="Times New Roman"/>
          <w:sz w:val="23"/>
          <w:szCs w:val="23"/>
        </w:rPr>
        <w:footnoteReference w:id="7"/>
      </w:r>
      <w:r w:rsidRPr="004335C6">
        <w:rPr>
          <w:rFonts w:cs="Times New Roman"/>
          <w:sz w:val="23"/>
          <w:szCs w:val="23"/>
        </w:rPr>
        <w:t xml:space="preserve"> OHAL Komisyonu önünde bu imkanların hiçbiri mevcut olmayacaktır. </w:t>
      </w:r>
    </w:p>
    <w:p w:rsidR="00DA6023" w:rsidRDefault="00DA6023"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685 Sayılı KHK’nin 9. maddesine göre OHAL Komisyonu, inceleme sonucunda başvurunun reddine veya kabulüne karar verebilecektir. Hakkında kabul kararı verilenlerin atama teklifleri; statüleri, unvanları ve yürüttükleri görevler itibarıyla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 onbeş gün içinde yapıl</w:t>
      </w:r>
      <w:r w:rsidR="00CE31C5" w:rsidRPr="004335C6">
        <w:rPr>
          <w:rFonts w:cs="Times New Roman"/>
          <w:sz w:val="23"/>
          <w:szCs w:val="23"/>
        </w:rPr>
        <w:t>acaktır</w:t>
      </w:r>
      <w:r w:rsidRPr="004335C6">
        <w:rPr>
          <w:rFonts w:cs="Times New Roman"/>
          <w:sz w:val="23"/>
          <w:szCs w:val="23"/>
        </w:rPr>
        <w:t>.</w:t>
      </w:r>
    </w:p>
    <w:p w:rsidR="00887B3B" w:rsidRPr="004335C6" w:rsidRDefault="00887B3B" w:rsidP="00836466">
      <w:pPr>
        <w:pStyle w:val="ListeParagraf"/>
        <w:numPr>
          <w:ilvl w:val="0"/>
          <w:numId w:val="12"/>
        </w:numPr>
        <w:spacing w:before="0" w:after="0"/>
        <w:ind w:left="113" w:right="113"/>
        <w:rPr>
          <w:rFonts w:cs="Times New Roman"/>
          <w:sz w:val="23"/>
          <w:szCs w:val="23"/>
        </w:rPr>
      </w:pPr>
      <w:r>
        <w:rPr>
          <w:rFonts w:cs="Times New Roman"/>
          <w:sz w:val="23"/>
          <w:szCs w:val="23"/>
        </w:rPr>
        <w:t xml:space="preserve">Görüldüğü gibi Komisyonun elindeki yetkiler, somut bir ifade özgürlüğü davasına çözüm üretmekten uzaktır. Diğer başvuruculardan farklı olarak barış için akademisyenler neden ihraç edildiklerini bilmediklerini söylememekte, tam tersine ifade özgürlüğünü kullandıkları için çeşitli şekillerde cezalandırıldıklarını ve bu </w:t>
      </w:r>
      <w:r>
        <w:rPr>
          <w:rFonts w:cs="Times New Roman"/>
          <w:sz w:val="23"/>
          <w:szCs w:val="23"/>
        </w:rPr>
        <w:lastRenderedPageBreak/>
        <w:t xml:space="preserve">nedenle ihraç edildiklerini ileri sürmektedirler. Komisyon ise bu itirazı inceleyecek kapasite ve yetkiye sahip değildir. </w:t>
      </w:r>
    </w:p>
    <w:p w:rsidR="00DA6023" w:rsidRPr="004335C6" w:rsidRDefault="00887B3B" w:rsidP="00836466">
      <w:pPr>
        <w:pStyle w:val="ListeParagraf"/>
        <w:numPr>
          <w:ilvl w:val="0"/>
          <w:numId w:val="12"/>
        </w:numPr>
        <w:spacing w:before="0" w:after="0"/>
        <w:ind w:left="113" w:right="113"/>
        <w:rPr>
          <w:rFonts w:cs="Times New Roman"/>
          <w:sz w:val="23"/>
          <w:szCs w:val="23"/>
        </w:rPr>
      </w:pPr>
      <w:r>
        <w:rPr>
          <w:rFonts w:cs="Times New Roman"/>
          <w:sz w:val="23"/>
          <w:szCs w:val="23"/>
        </w:rPr>
        <w:t xml:space="preserve">Barış için Akademisyenler açısından </w:t>
      </w:r>
      <w:r w:rsidR="00DC79FB" w:rsidRPr="004335C6">
        <w:rPr>
          <w:rFonts w:cs="Times New Roman"/>
          <w:sz w:val="23"/>
          <w:szCs w:val="23"/>
        </w:rPr>
        <w:t>K</w:t>
      </w:r>
      <w:r w:rsidR="00DA6023" w:rsidRPr="004335C6">
        <w:rPr>
          <w:rFonts w:cs="Times New Roman"/>
          <w:sz w:val="23"/>
          <w:szCs w:val="23"/>
        </w:rPr>
        <w:t xml:space="preserve">omisyonun kararlarına karşı yargı yolunun açık olması nedeniyle sakıncaların giderileceği iddiası da dayanaksızdır. 11. maddeye göre “Komisyon kararlarına karşı Hâkimler ve Savcılar Yüksek Kurulunca belirlenecek Ankara idare mahkemelerinde iptal davası açılabilir”. Görüldüğü gibi bu kural uyarınca kişi ve kurum hakkındaki ilk işlemi tesis eden Bakanlar Kurulu ve onun işlemi olan KHK değil, Komisyonun verdiği ret kararı dava edilebilmektedir. </w:t>
      </w:r>
      <w:r>
        <w:rPr>
          <w:rFonts w:cs="Times New Roman"/>
          <w:sz w:val="23"/>
          <w:szCs w:val="23"/>
        </w:rPr>
        <w:t xml:space="preserve">Halbuki başvurucunun iddiası Komisyonun yetkisine girmeyen ifade özgürlüğünün ihlalinin tespitine ilişkindir. Komisyon bu konuyu inceleyemeyeceği için yargı yerinin de Komisyonun incelemediği bir konuda karar vermesi mümkün değildir. </w:t>
      </w:r>
    </w:p>
    <w:p w:rsidR="00130B8E" w:rsidRPr="004335C6" w:rsidRDefault="00DA6023" w:rsidP="00887B3B">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Bu koşullar bir bütün halinde değerlendirildiğinde; </w:t>
      </w:r>
      <w:r w:rsidR="00887B3B">
        <w:rPr>
          <w:rFonts w:cs="Times New Roman"/>
          <w:sz w:val="23"/>
          <w:szCs w:val="23"/>
        </w:rPr>
        <w:t xml:space="preserve">başvurucunun da içerisinde bulunduğu Barış için Akademisyenlerin durumunun AİHM tarafından daha önce incelenen Zihni ve Köksal kararlarından farklı nitelik taşıdığı açıktır. </w:t>
      </w:r>
    </w:p>
    <w:p w:rsidR="00DA6023" w:rsidRPr="004335C6" w:rsidRDefault="007C4CD7" w:rsidP="00836466">
      <w:pPr>
        <w:pStyle w:val="ListeParagraf"/>
        <w:numPr>
          <w:ilvl w:val="0"/>
          <w:numId w:val="12"/>
        </w:numPr>
        <w:spacing w:before="0" w:after="0"/>
        <w:ind w:left="113" w:right="113"/>
        <w:rPr>
          <w:rFonts w:cs="Times New Roman"/>
          <w:sz w:val="23"/>
          <w:szCs w:val="23"/>
        </w:rPr>
      </w:pPr>
      <w:r w:rsidRPr="004335C6">
        <w:rPr>
          <w:rFonts w:cs="Times New Roman"/>
          <w:sz w:val="23"/>
          <w:szCs w:val="23"/>
        </w:rPr>
        <w:t xml:space="preserve">685 Sayılı KHK ile kurulan OHAL Komisyonu ifade özgürlüğü şikayetlerini incelemek için yetkili olmadığı gibi bu riskleri ortadan kaldıracak, başvurucunun potansiyel mağduriyetini giderecek bir yapıya da sahip değildir. Bu nedenle tüketilmesi gereken iç hukuk yolu olarak değerlendirilmesi de mümkün değildir. </w:t>
      </w:r>
    </w:p>
    <w:p w:rsidR="007D42DB" w:rsidRPr="004335C6" w:rsidRDefault="007D42DB" w:rsidP="00836466">
      <w:pPr>
        <w:pStyle w:val="Balk1"/>
        <w:ind w:left="113" w:right="113"/>
        <w:rPr>
          <w:rFonts w:cs="Times New Roman"/>
          <w:sz w:val="23"/>
          <w:szCs w:val="23"/>
        </w:rPr>
      </w:pPr>
      <w:r w:rsidRPr="004335C6">
        <w:rPr>
          <w:rFonts w:cs="Times New Roman"/>
          <w:sz w:val="23"/>
          <w:szCs w:val="23"/>
        </w:rPr>
        <w:t>Esasa İlişkin Değerlendirmeler</w:t>
      </w:r>
    </w:p>
    <w:p w:rsidR="007D42DB" w:rsidRPr="004335C6" w:rsidRDefault="007D42DB" w:rsidP="00836466">
      <w:pPr>
        <w:pStyle w:val="Balk2"/>
        <w:ind w:left="113" w:right="113"/>
        <w:rPr>
          <w:rFonts w:cs="Times New Roman"/>
          <w:sz w:val="23"/>
          <w:szCs w:val="23"/>
        </w:rPr>
      </w:pPr>
      <w:r w:rsidRPr="004335C6">
        <w:rPr>
          <w:rFonts w:cs="Times New Roman"/>
          <w:sz w:val="23"/>
          <w:szCs w:val="23"/>
        </w:rPr>
        <w:t>Sözleşmenin 10. Maddesinin İhlali</w:t>
      </w:r>
    </w:p>
    <w:p w:rsidR="007D42DB" w:rsidRPr="004335C6" w:rsidRDefault="007D42DB" w:rsidP="00836466">
      <w:pPr>
        <w:pStyle w:val="Balk3"/>
        <w:ind w:left="113" w:right="113"/>
        <w:rPr>
          <w:rFonts w:cs="Times New Roman"/>
          <w:sz w:val="23"/>
          <w:szCs w:val="23"/>
        </w:rPr>
      </w:pPr>
      <w:r w:rsidRPr="004335C6">
        <w:rPr>
          <w:rFonts w:cs="Times New Roman"/>
          <w:sz w:val="23"/>
          <w:szCs w:val="23"/>
        </w:rPr>
        <w:t>Müdahalenin Varlığı ve Devamı</w:t>
      </w:r>
    </w:p>
    <w:p w:rsidR="007D42DB" w:rsidRPr="004335C6" w:rsidRDefault="007D42DB" w:rsidP="00CD619B">
      <w:pPr>
        <w:pStyle w:val="ListeParagraf"/>
        <w:numPr>
          <w:ilvl w:val="0"/>
          <w:numId w:val="12"/>
        </w:numPr>
        <w:spacing w:before="0" w:after="0"/>
        <w:ind w:right="113"/>
        <w:rPr>
          <w:rStyle w:val="sb8d990e2"/>
          <w:rFonts w:cs="Times New Roman"/>
          <w:sz w:val="23"/>
          <w:szCs w:val="23"/>
        </w:rPr>
      </w:pPr>
      <w:r w:rsidRPr="004335C6">
        <w:rPr>
          <w:rFonts w:cs="Times New Roman"/>
          <w:sz w:val="23"/>
          <w:szCs w:val="23"/>
        </w:rPr>
        <w:t xml:space="preserve">Kural olarak bir kişinin Sözleşme kapsamında mağdur sayılabilmesi için başvuru konusu önlemden doğrudan etkilenmesi gerekir. </w:t>
      </w:r>
      <w:r w:rsidRPr="004335C6">
        <w:rPr>
          <w:rStyle w:val="sb8d990e2"/>
          <w:rFonts w:cs="Times New Roman"/>
          <w:color w:val="000000"/>
          <w:sz w:val="23"/>
          <w:szCs w:val="23"/>
          <w:shd w:val="clear" w:color="auto" w:fill="FFFFFF"/>
        </w:rPr>
        <w:t>(</w:t>
      </w:r>
      <w:r w:rsidR="001F5325" w:rsidRPr="004335C6">
        <w:rPr>
          <w:rStyle w:val="apple-converted-space"/>
          <w:rFonts w:cs="Times New Roman"/>
          <w:color w:val="000000"/>
          <w:sz w:val="23"/>
          <w:szCs w:val="23"/>
          <w:shd w:val="clear" w:color="auto" w:fill="FFFFFF"/>
        </w:rPr>
        <w:t>İrlanda/BK</w:t>
      </w:r>
      <w:r w:rsidRPr="004335C6">
        <w:rPr>
          <w:rStyle w:val="sb8d990e2"/>
          <w:rFonts w:cs="Times New Roman"/>
          <w:color w:val="000000"/>
          <w:sz w:val="23"/>
          <w:szCs w:val="23"/>
          <w:shd w:val="clear" w:color="auto" w:fill="FFFFFF"/>
        </w:rPr>
        <w:t>, 18</w:t>
      </w:r>
      <w:r w:rsidR="001F5325" w:rsidRPr="004335C6">
        <w:rPr>
          <w:rStyle w:val="sb8d990e2"/>
          <w:rFonts w:cs="Times New Roman"/>
          <w:color w:val="000000"/>
          <w:sz w:val="23"/>
          <w:szCs w:val="23"/>
          <w:shd w:val="clear" w:color="auto" w:fill="FFFFFF"/>
        </w:rPr>
        <w:t>.1.</w:t>
      </w:r>
      <w:r w:rsidRPr="004335C6">
        <w:rPr>
          <w:rStyle w:val="sb8d990e2"/>
          <w:rFonts w:cs="Times New Roman"/>
          <w:color w:val="000000"/>
          <w:sz w:val="23"/>
          <w:szCs w:val="23"/>
          <w:shd w:val="clear" w:color="auto" w:fill="FFFFFF"/>
        </w:rPr>
        <w:t xml:space="preserve">1978, </w:t>
      </w:r>
      <w:r w:rsidR="001F5325" w:rsidRPr="004335C6">
        <w:rPr>
          <w:rStyle w:val="sb8d990e2"/>
          <w:rFonts w:cs="Times New Roman"/>
          <w:color w:val="000000"/>
          <w:sz w:val="23"/>
          <w:szCs w:val="23"/>
          <w:shd w:val="clear" w:color="auto" w:fill="FFFFFF"/>
        </w:rPr>
        <w:t>para.</w:t>
      </w:r>
      <w:r w:rsidRPr="004335C6">
        <w:rPr>
          <w:rStyle w:val="sb8d990e2"/>
          <w:rFonts w:cs="Times New Roman"/>
          <w:color w:val="000000"/>
          <w:sz w:val="23"/>
          <w:szCs w:val="23"/>
          <w:shd w:val="clear" w:color="auto" w:fill="FFFFFF"/>
        </w:rPr>
        <w:t xml:space="preserve"> 239-240, Series A, no. 25;</w:t>
      </w:r>
      <w:r w:rsidRPr="004335C6">
        <w:rPr>
          <w:rStyle w:val="apple-converted-space"/>
          <w:rFonts w:cs="Times New Roman"/>
          <w:color w:val="000000"/>
          <w:sz w:val="23"/>
          <w:szCs w:val="23"/>
          <w:shd w:val="clear" w:color="auto" w:fill="FFFFFF"/>
        </w:rPr>
        <w:t> </w:t>
      </w:r>
      <w:r w:rsidR="001F5325" w:rsidRPr="004335C6">
        <w:rPr>
          <w:rStyle w:val="s6b621b36"/>
          <w:rFonts w:cs="Times New Roman"/>
          <w:i/>
          <w:iCs/>
          <w:color w:val="000000"/>
          <w:sz w:val="23"/>
          <w:szCs w:val="23"/>
          <w:shd w:val="clear" w:color="auto" w:fill="FFFFFF"/>
        </w:rPr>
        <w:t xml:space="preserve">ve </w:t>
      </w:r>
      <w:r w:rsidRPr="004335C6">
        <w:rPr>
          <w:rStyle w:val="s6b621b36"/>
          <w:rFonts w:cs="Times New Roman"/>
          <w:i/>
          <w:iCs/>
          <w:color w:val="000000"/>
          <w:sz w:val="23"/>
          <w:szCs w:val="23"/>
          <w:shd w:val="clear" w:color="auto" w:fill="FFFFFF"/>
        </w:rPr>
        <w:t>Klass</w:t>
      </w:r>
      <w:r w:rsidR="001F5325" w:rsidRPr="004335C6">
        <w:rPr>
          <w:rStyle w:val="s6b621b36"/>
          <w:rFonts w:cs="Times New Roman"/>
          <w:i/>
          <w:iCs/>
          <w:color w:val="000000"/>
          <w:sz w:val="23"/>
          <w:szCs w:val="23"/>
          <w:shd w:val="clear" w:color="auto" w:fill="FFFFFF"/>
        </w:rPr>
        <w:t xml:space="preserve"> ve Diğerleri/Almanya</w:t>
      </w:r>
      <w:r w:rsidRPr="004335C6">
        <w:rPr>
          <w:rStyle w:val="sb8d990e2"/>
          <w:rFonts w:cs="Times New Roman"/>
          <w:color w:val="000000"/>
          <w:sz w:val="23"/>
          <w:szCs w:val="23"/>
          <w:shd w:val="clear" w:color="auto" w:fill="FFFFFF"/>
        </w:rPr>
        <w:t>, 6</w:t>
      </w:r>
      <w:r w:rsidR="001F5325" w:rsidRPr="004335C6">
        <w:rPr>
          <w:rStyle w:val="sb8d990e2"/>
          <w:rFonts w:cs="Times New Roman"/>
          <w:color w:val="000000"/>
          <w:sz w:val="23"/>
          <w:szCs w:val="23"/>
          <w:shd w:val="clear" w:color="auto" w:fill="FFFFFF"/>
        </w:rPr>
        <w:t>.9. 1978, para.</w:t>
      </w:r>
      <w:r w:rsidRPr="004335C6">
        <w:rPr>
          <w:rStyle w:val="sb8d990e2"/>
          <w:rFonts w:cs="Times New Roman"/>
          <w:color w:val="000000"/>
          <w:sz w:val="23"/>
          <w:szCs w:val="23"/>
          <w:shd w:val="clear" w:color="auto" w:fill="FFFFFF"/>
        </w:rPr>
        <w:t xml:space="preserve"> 33, Series A no. 28). Bununla birlikte, bu kuralın ifade özgürlüğü açısından önemli istisnaları mevcuttur.</w:t>
      </w:r>
    </w:p>
    <w:p w:rsidR="00CD619B" w:rsidRPr="004335C6" w:rsidRDefault="007D42DB" w:rsidP="00CD619B">
      <w:pPr>
        <w:pStyle w:val="ListeParagraf"/>
        <w:numPr>
          <w:ilvl w:val="0"/>
          <w:numId w:val="12"/>
        </w:numPr>
        <w:spacing w:before="0" w:after="0"/>
        <w:ind w:right="113"/>
        <w:rPr>
          <w:rStyle w:val="sb8d990e2"/>
          <w:rFonts w:cs="Times New Roman"/>
          <w:sz w:val="23"/>
          <w:szCs w:val="23"/>
        </w:rPr>
      </w:pPr>
      <w:r w:rsidRPr="004335C6">
        <w:rPr>
          <w:rStyle w:val="apple-converted-space"/>
          <w:rFonts w:cs="Times New Roman"/>
          <w:color w:val="000000"/>
          <w:sz w:val="23"/>
          <w:szCs w:val="23"/>
          <w:shd w:val="clear" w:color="auto" w:fill="FFFFFF"/>
        </w:rPr>
        <w:t xml:space="preserve">Bir kişi, kural somut olarak kendine uygulanmasa bile, kural nedeniyle veya soruşturmaya uğrama ihtimali yüzünden </w:t>
      </w:r>
      <w:r w:rsidRPr="004335C6">
        <w:rPr>
          <w:rStyle w:val="sb8d990e2"/>
          <w:rFonts w:cs="Times New Roman"/>
          <w:color w:val="000000"/>
          <w:sz w:val="23"/>
          <w:szCs w:val="23"/>
          <w:shd w:val="clear" w:color="auto" w:fill="FFFFFF"/>
        </w:rPr>
        <w:t>(</w:t>
      </w:r>
      <w:r w:rsidRPr="004335C6">
        <w:rPr>
          <w:rStyle w:val="s6b621b36"/>
          <w:rFonts w:cs="Times New Roman"/>
          <w:i/>
          <w:iCs/>
          <w:color w:val="000000"/>
          <w:sz w:val="23"/>
          <w:szCs w:val="23"/>
          <w:shd w:val="clear" w:color="auto" w:fill="FFFFFF"/>
        </w:rPr>
        <w:t>Dudgeon</w:t>
      </w:r>
      <w:r w:rsidR="001F5325" w:rsidRPr="004335C6">
        <w:rPr>
          <w:rStyle w:val="s6b621b36"/>
          <w:rFonts w:cs="Times New Roman"/>
          <w:i/>
          <w:iCs/>
          <w:color w:val="000000"/>
          <w:sz w:val="23"/>
          <w:szCs w:val="23"/>
          <w:shd w:val="clear" w:color="auto" w:fill="FFFFFF"/>
        </w:rPr>
        <w:t>/BK</w:t>
      </w:r>
      <w:r w:rsidRPr="004335C6">
        <w:rPr>
          <w:rStyle w:val="sb8d990e2"/>
          <w:rFonts w:cs="Times New Roman"/>
          <w:color w:val="000000"/>
          <w:sz w:val="23"/>
          <w:szCs w:val="23"/>
          <w:shd w:val="clear" w:color="auto" w:fill="FFFFFF"/>
        </w:rPr>
        <w:t>, 22</w:t>
      </w:r>
      <w:r w:rsidR="001F5325" w:rsidRPr="004335C6">
        <w:rPr>
          <w:rStyle w:val="sb8d990e2"/>
          <w:rFonts w:cs="Times New Roman"/>
          <w:color w:val="000000"/>
          <w:sz w:val="23"/>
          <w:szCs w:val="23"/>
          <w:shd w:val="clear" w:color="auto" w:fill="FFFFFF"/>
        </w:rPr>
        <w:t>.10.</w:t>
      </w:r>
      <w:r w:rsidRPr="004335C6">
        <w:rPr>
          <w:rStyle w:val="sb8d990e2"/>
          <w:rFonts w:cs="Times New Roman"/>
          <w:color w:val="000000"/>
          <w:sz w:val="23"/>
          <w:szCs w:val="23"/>
          <w:shd w:val="clear" w:color="auto" w:fill="FFFFFF"/>
        </w:rPr>
        <w:t xml:space="preserve"> 1981, </w:t>
      </w:r>
      <w:r w:rsidR="001F5325" w:rsidRPr="004335C6">
        <w:rPr>
          <w:rStyle w:val="sb8d990e2"/>
          <w:rFonts w:cs="Times New Roman"/>
          <w:color w:val="000000"/>
          <w:sz w:val="23"/>
          <w:szCs w:val="23"/>
          <w:shd w:val="clear" w:color="auto" w:fill="FFFFFF"/>
        </w:rPr>
        <w:t>para</w:t>
      </w:r>
      <w:r w:rsidRPr="004335C6">
        <w:rPr>
          <w:rStyle w:val="sb8d990e2"/>
          <w:rFonts w:cs="Times New Roman"/>
          <w:color w:val="000000"/>
          <w:sz w:val="23"/>
          <w:szCs w:val="23"/>
          <w:shd w:val="clear" w:color="auto" w:fill="FFFFFF"/>
        </w:rPr>
        <w:t xml:space="preserve"> 41, Series A no. 45;</w:t>
      </w:r>
      <w:r w:rsidRPr="004335C6">
        <w:rPr>
          <w:rStyle w:val="apple-converted-space"/>
          <w:rFonts w:cs="Times New Roman"/>
          <w:color w:val="000000"/>
          <w:sz w:val="23"/>
          <w:szCs w:val="23"/>
          <w:shd w:val="clear" w:color="auto" w:fill="FFFFFF"/>
        </w:rPr>
        <w:t> </w:t>
      </w:r>
      <w:r w:rsidRPr="004335C6">
        <w:rPr>
          <w:rStyle w:val="s6b621b36"/>
          <w:rFonts w:cs="Times New Roman"/>
          <w:iCs/>
          <w:color w:val="000000"/>
          <w:sz w:val="23"/>
          <w:szCs w:val="23"/>
          <w:shd w:val="clear" w:color="auto" w:fill="FFFFFF"/>
        </w:rPr>
        <w:t>Norris</w:t>
      </w:r>
      <w:r w:rsidR="001F5325" w:rsidRPr="004335C6">
        <w:rPr>
          <w:rStyle w:val="s6b621b36"/>
          <w:rFonts w:cs="Times New Roman"/>
          <w:iCs/>
          <w:color w:val="000000"/>
          <w:sz w:val="23"/>
          <w:szCs w:val="23"/>
          <w:shd w:val="clear" w:color="auto" w:fill="FFFFFF"/>
        </w:rPr>
        <w:t xml:space="preserve">/İrlanda </w:t>
      </w:r>
      <w:r w:rsidR="001F5325" w:rsidRPr="004335C6">
        <w:rPr>
          <w:rStyle w:val="sb8d990e2"/>
          <w:rFonts w:cs="Times New Roman"/>
          <w:color w:val="000000"/>
          <w:sz w:val="23"/>
          <w:szCs w:val="23"/>
          <w:shd w:val="clear" w:color="auto" w:fill="FFFFFF"/>
        </w:rPr>
        <w:t>para.</w:t>
      </w:r>
      <w:r w:rsidRPr="004335C6">
        <w:rPr>
          <w:rStyle w:val="sb8d990e2"/>
          <w:rFonts w:cs="Times New Roman"/>
          <w:color w:val="000000"/>
          <w:sz w:val="23"/>
          <w:szCs w:val="23"/>
          <w:shd w:val="clear" w:color="auto" w:fill="FFFFFF"/>
        </w:rPr>
        <w:t xml:space="preserve"> 31) veya yasadan doğrudan et</w:t>
      </w:r>
      <w:r w:rsidR="00DC79FB" w:rsidRPr="004335C6">
        <w:rPr>
          <w:rStyle w:val="sb8d990e2"/>
          <w:rFonts w:cs="Times New Roman"/>
          <w:color w:val="000000"/>
          <w:sz w:val="23"/>
          <w:szCs w:val="23"/>
          <w:shd w:val="clear" w:color="auto" w:fill="FFFFFF"/>
        </w:rPr>
        <w:t>kilenecek grupta olduğu için (</w:t>
      </w:r>
      <w:r w:rsidRPr="004335C6">
        <w:rPr>
          <w:rStyle w:val="s6b621b36"/>
          <w:rFonts w:cs="Times New Roman"/>
          <w:iCs/>
          <w:color w:val="000000"/>
          <w:sz w:val="23"/>
          <w:szCs w:val="23"/>
          <w:shd w:val="clear" w:color="auto" w:fill="FFFFFF"/>
        </w:rPr>
        <w:t xml:space="preserve">Johnston </w:t>
      </w:r>
      <w:r w:rsidR="001F5325" w:rsidRPr="004335C6">
        <w:rPr>
          <w:rStyle w:val="s6b621b36"/>
          <w:rFonts w:cs="Times New Roman"/>
          <w:iCs/>
          <w:color w:val="000000"/>
          <w:sz w:val="23"/>
          <w:szCs w:val="23"/>
          <w:shd w:val="clear" w:color="auto" w:fill="FFFFFF"/>
        </w:rPr>
        <w:t>ve Diğerleri /İrlanda</w:t>
      </w:r>
      <w:r w:rsidRPr="004335C6">
        <w:rPr>
          <w:rStyle w:val="sb8d990e2"/>
          <w:rFonts w:cs="Times New Roman"/>
          <w:color w:val="000000"/>
          <w:sz w:val="23"/>
          <w:szCs w:val="23"/>
          <w:shd w:val="clear" w:color="auto" w:fill="FFFFFF"/>
        </w:rPr>
        <w:t>, 18</w:t>
      </w:r>
      <w:r w:rsidR="001F5325" w:rsidRPr="004335C6">
        <w:rPr>
          <w:rStyle w:val="sb8d990e2"/>
          <w:rFonts w:cs="Times New Roman"/>
          <w:color w:val="000000"/>
          <w:sz w:val="23"/>
          <w:szCs w:val="23"/>
          <w:shd w:val="clear" w:color="auto" w:fill="FFFFFF"/>
        </w:rPr>
        <w:t>.12.</w:t>
      </w:r>
      <w:r w:rsidRPr="004335C6">
        <w:rPr>
          <w:rStyle w:val="sb8d990e2"/>
          <w:rFonts w:cs="Times New Roman"/>
          <w:color w:val="000000"/>
          <w:sz w:val="23"/>
          <w:szCs w:val="23"/>
          <w:shd w:val="clear" w:color="auto" w:fill="FFFFFF"/>
        </w:rPr>
        <w:t xml:space="preserve"> 1986, </w:t>
      </w:r>
      <w:r w:rsidR="001F5325" w:rsidRPr="004335C6">
        <w:rPr>
          <w:rStyle w:val="sb8d990e2"/>
          <w:rFonts w:cs="Times New Roman"/>
          <w:color w:val="000000"/>
          <w:sz w:val="23"/>
          <w:szCs w:val="23"/>
          <w:shd w:val="clear" w:color="auto" w:fill="FFFFFF"/>
        </w:rPr>
        <w:t>para.</w:t>
      </w:r>
      <w:r w:rsidR="00DC79FB" w:rsidRPr="004335C6">
        <w:rPr>
          <w:rStyle w:val="sb8d990e2"/>
          <w:rFonts w:cs="Times New Roman"/>
          <w:color w:val="000000"/>
          <w:sz w:val="23"/>
          <w:szCs w:val="23"/>
          <w:shd w:val="clear" w:color="auto" w:fill="FFFFFF"/>
        </w:rPr>
        <w:t xml:space="preserve"> 42, Series A no. 112;</w:t>
      </w:r>
      <w:r w:rsidRPr="004335C6">
        <w:rPr>
          <w:rStyle w:val="apple-converted-space"/>
          <w:rFonts w:cs="Times New Roman"/>
          <w:color w:val="000000"/>
          <w:sz w:val="23"/>
          <w:szCs w:val="23"/>
          <w:shd w:val="clear" w:color="auto" w:fill="FFFFFF"/>
        </w:rPr>
        <w:t> </w:t>
      </w:r>
      <w:r w:rsidRPr="004335C6">
        <w:rPr>
          <w:rStyle w:val="s6b621b36"/>
          <w:rFonts w:cs="Times New Roman"/>
          <w:iCs/>
          <w:color w:val="000000"/>
          <w:sz w:val="23"/>
          <w:szCs w:val="23"/>
          <w:shd w:val="clear" w:color="auto" w:fill="FFFFFF"/>
        </w:rPr>
        <w:t xml:space="preserve">Open Door </w:t>
      </w:r>
      <w:r w:rsidR="001F5325" w:rsidRPr="004335C6">
        <w:rPr>
          <w:rStyle w:val="s6b621b36"/>
          <w:rFonts w:cs="Times New Roman"/>
          <w:iCs/>
          <w:color w:val="000000"/>
          <w:sz w:val="23"/>
          <w:szCs w:val="23"/>
          <w:shd w:val="clear" w:color="auto" w:fill="FFFFFF"/>
        </w:rPr>
        <w:t>ve</w:t>
      </w:r>
      <w:r w:rsidRPr="004335C6">
        <w:rPr>
          <w:rStyle w:val="s6b621b36"/>
          <w:rFonts w:cs="Times New Roman"/>
          <w:iCs/>
          <w:color w:val="000000"/>
          <w:sz w:val="23"/>
          <w:szCs w:val="23"/>
          <w:shd w:val="clear" w:color="auto" w:fill="FFFFFF"/>
        </w:rPr>
        <w:t xml:space="preserve"> Dublin Well Woman</w:t>
      </w:r>
      <w:r w:rsidR="001F5325" w:rsidRPr="004335C6">
        <w:rPr>
          <w:rStyle w:val="s6b621b36"/>
          <w:rFonts w:cs="Times New Roman"/>
          <w:iCs/>
          <w:color w:val="000000"/>
          <w:sz w:val="23"/>
          <w:szCs w:val="23"/>
          <w:shd w:val="clear" w:color="auto" w:fill="FFFFFF"/>
        </w:rPr>
        <w:t>/İrlanda</w:t>
      </w:r>
      <w:r w:rsidRPr="004335C6">
        <w:rPr>
          <w:rStyle w:val="sb8d990e2"/>
          <w:rFonts w:cs="Times New Roman"/>
          <w:color w:val="000000"/>
          <w:sz w:val="23"/>
          <w:szCs w:val="23"/>
          <w:shd w:val="clear" w:color="auto" w:fill="FFFFFF"/>
        </w:rPr>
        <w:t>, 29</w:t>
      </w:r>
      <w:r w:rsidR="001F5325" w:rsidRPr="004335C6">
        <w:rPr>
          <w:rStyle w:val="sb8d990e2"/>
          <w:rFonts w:cs="Times New Roman"/>
          <w:color w:val="000000"/>
          <w:sz w:val="23"/>
          <w:szCs w:val="23"/>
          <w:shd w:val="clear" w:color="auto" w:fill="FFFFFF"/>
        </w:rPr>
        <w:t>.10.</w:t>
      </w:r>
      <w:r w:rsidRPr="004335C6">
        <w:rPr>
          <w:rStyle w:val="sb8d990e2"/>
          <w:rFonts w:cs="Times New Roman"/>
          <w:color w:val="000000"/>
          <w:sz w:val="23"/>
          <w:szCs w:val="23"/>
          <w:shd w:val="clear" w:color="auto" w:fill="FFFFFF"/>
        </w:rPr>
        <w:t xml:space="preserve"> 1992, Series A no. 246-A) davranışını değiştirmek zorunda kalıyorsa mağdur sayılabilir. (</w:t>
      </w:r>
      <w:r w:rsidRPr="004335C6">
        <w:rPr>
          <w:rStyle w:val="s6b621b36"/>
          <w:rFonts w:cs="Times New Roman"/>
          <w:iCs/>
          <w:color w:val="000000"/>
          <w:sz w:val="23"/>
          <w:szCs w:val="23"/>
          <w:shd w:val="clear" w:color="auto" w:fill="FFFFFF"/>
        </w:rPr>
        <w:t>Altuğ Taner Akçam</w:t>
      </w:r>
      <w:r w:rsidR="001F5325" w:rsidRPr="004335C6">
        <w:rPr>
          <w:rStyle w:val="s6b621b36"/>
          <w:rFonts w:cs="Times New Roman"/>
          <w:iCs/>
          <w:color w:val="000000"/>
          <w:sz w:val="23"/>
          <w:szCs w:val="23"/>
          <w:shd w:val="clear" w:color="auto" w:fill="FFFFFF"/>
        </w:rPr>
        <w:t>/Türkiye,</w:t>
      </w:r>
      <w:r w:rsidR="001F5325" w:rsidRPr="004335C6">
        <w:rPr>
          <w:rStyle w:val="sb8d990e2"/>
          <w:rFonts w:cs="Times New Roman"/>
          <w:color w:val="000000"/>
          <w:sz w:val="23"/>
          <w:szCs w:val="23"/>
          <w:shd w:val="clear" w:color="auto" w:fill="FFFFFF"/>
        </w:rPr>
        <w:t xml:space="preserve"> </w:t>
      </w:r>
      <w:r w:rsidRPr="004335C6">
        <w:rPr>
          <w:rStyle w:val="sb8d990e2"/>
          <w:rFonts w:cs="Times New Roman"/>
          <w:color w:val="000000"/>
          <w:sz w:val="23"/>
          <w:szCs w:val="23"/>
          <w:shd w:val="clear" w:color="auto" w:fill="FFFFFF"/>
        </w:rPr>
        <w:t>no.</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27520/07</w:t>
      </w:r>
      <w:r w:rsidRPr="004335C6">
        <w:rPr>
          <w:rStyle w:val="sb8d990e2"/>
          <w:rFonts w:cs="Times New Roman"/>
          <w:color w:val="000000"/>
          <w:sz w:val="23"/>
          <w:szCs w:val="23"/>
          <w:shd w:val="clear" w:color="auto" w:fill="FFFFFF"/>
        </w:rPr>
        <w:t>, para. 68, 25</w:t>
      </w:r>
      <w:r w:rsidR="001F5325" w:rsidRPr="004335C6">
        <w:rPr>
          <w:rStyle w:val="sb8d990e2"/>
          <w:rFonts w:cs="Times New Roman"/>
          <w:color w:val="000000"/>
          <w:sz w:val="23"/>
          <w:szCs w:val="23"/>
          <w:shd w:val="clear" w:color="auto" w:fill="FFFFFF"/>
        </w:rPr>
        <w:t>.10.</w:t>
      </w:r>
      <w:r w:rsidRPr="004335C6">
        <w:rPr>
          <w:rStyle w:val="sb8d990e2"/>
          <w:rFonts w:cs="Times New Roman"/>
          <w:color w:val="000000"/>
          <w:sz w:val="23"/>
          <w:szCs w:val="23"/>
          <w:shd w:val="clear" w:color="auto" w:fill="FFFFFF"/>
        </w:rPr>
        <w:t xml:space="preserve"> 2011)</w:t>
      </w:r>
      <w:r w:rsidR="00CD619B" w:rsidRPr="004335C6">
        <w:rPr>
          <w:rStyle w:val="sb8d990e2"/>
          <w:rFonts w:cs="Times New Roman"/>
          <w:color w:val="000000"/>
          <w:sz w:val="23"/>
          <w:szCs w:val="23"/>
          <w:shd w:val="clear" w:color="auto" w:fill="FFFFFF"/>
        </w:rPr>
        <w:t>.</w:t>
      </w:r>
    </w:p>
    <w:p w:rsidR="007D42DB" w:rsidRPr="004335C6" w:rsidRDefault="007D42DB" w:rsidP="00CD619B">
      <w:pPr>
        <w:pStyle w:val="ListeParagraf"/>
        <w:numPr>
          <w:ilvl w:val="0"/>
          <w:numId w:val="12"/>
        </w:numPr>
        <w:spacing w:before="0" w:after="0"/>
        <w:ind w:right="113"/>
        <w:rPr>
          <w:rStyle w:val="sb8d990e2"/>
          <w:rFonts w:cs="Times New Roman"/>
          <w:sz w:val="23"/>
          <w:szCs w:val="23"/>
        </w:rPr>
      </w:pPr>
      <w:r w:rsidRPr="004335C6">
        <w:rPr>
          <w:rStyle w:val="sb8d990e2"/>
          <w:rFonts w:cs="Times New Roman"/>
          <w:color w:val="000000"/>
          <w:sz w:val="23"/>
          <w:szCs w:val="23"/>
          <w:shd w:val="clear" w:color="auto" w:fill="FFFFFF"/>
        </w:rPr>
        <w:t xml:space="preserve"> </w:t>
      </w:r>
      <w:r w:rsidRPr="004335C6">
        <w:rPr>
          <w:rStyle w:val="sb8d990e2"/>
          <w:rFonts w:cs="Times New Roman"/>
          <w:sz w:val="23"/>
          <w:szCs w:val="23"/>
        </w:rPr>
        <w:t xml:space="preserve">Bir kural ve uygulama nedeniyle kişi şu tip bir çelişkiye düşüyorsa, bu anlamda mağduriyet doğduğu </w:t>
      </w:r>
      <w:r w:rsidR="00DC79FB" w:rsidRPr="004335C6">
        <w:rPr>
          <w:rStyle w:val="sb8d990e2"/>
          <w:rFonts w:cs="Times New Roman"/>
          <w:sz w:val="23"/>
          <w:szCs w:val="23"/>
        </w:rPr>
        <w:t xml:space="preserve">da </w:t>
      </w:r>
      <w:r w:rsidRPr="004335C6">
        <w:rPr>
          <w:rStyle w:val="sb8d990e2"/>
          <w:rFonts w:cs="Times New Roman"/>
          <w:sz w:val="23"/>
          <w:szCs w:val="23"/>
        </w:rPr>
        <w:t>söylenebilir: Bir avukat, avukat-müvekkil arasındaki bilgileri açıklamayı zorunlu kılan bir Barolar Birliği Yönetmeliğine uyduğunda etik kuralları ihlal edecek, uymadığında ise hakkında disiplin işlemleri yapılacak hatta Barodan atılacaktır. Bu durumda, ilgili kural somut olarak o kişiye uygulanmasa bile mağduriyet doğmuştur. (Michaud/Fransa, no. 12323/11, 06.12.2011, para. 52)</w:t>
      </w:r>
    </w:p>
    <w:p w:rsidR="007D42DB" w:rsidRPr="004335C6" w:rsidRDefault="00DC79FB" w:rsidP="00CD619B">
      <w:pPr>
        <w:pStyle w:val="ListeParagraf"/>
        <w:numPr>
          <w:ilvl w:val="0"/>
          <w:numId w:val="12"/>
        </w:numPr>
        <w:spacing w:before="0" w:after="0"/>
        <w:ind w:right="113"/>
        <w:rPr>
          <w:rStyle w:val="sb8d990e2"/>
          <w:rFonts w:cs="Times New Roman"/>
          <w:sz w:val="23"/>
          <w:szCs w:val="23"/>
        </w:rPr>
      </w:pPr>
      <w:r w:rsidRPr="004335C6">
        <w:rPr>
          <w:rStyle w:val="sb8d990e2"/>
          <w:rFonts w:cs="Times New Roman"/>
          <w:color w:val="000000"/>
          <w:sz w:val="23"/>
          <w:szCs w:val="23"/>
          <w:shd w:val="clear" w:color="auto" w:fill="FFFFFF"/>
        </w:rPr>
        <w:t>AİHM, beraat veya</w:t>
      </w:r>
      <w:r w:rsidR="007D42DB" w:rsidRPr="004335C6">
        <w:rPr>
          <w:rStyle w:val="sb8d990e2"/>
          <w:rFonts w:cs="Times New Roman"/>
          <w:color w:val="000000"/>
          <w:sz w:val="23"/>
          <w:szCs w:val="23"/>
          <w:shd w:val="clear" w:color="auto" w:fill="FFFFFF"/>
        </w:rPr>
        <w:t xml:space="preserve"> takipsizlik kararı verilmesi halinde dahi yaptırım korkusunun kişinin aynı konuda gelecekte benzer ifadeler kullanması konusunda ifade özgürlüğünü kullanması bakımından yaratacağı caydırıcı</w:t>
      </w:r>
      <w:r w:rsidRPr="004335C6">
        <w:rPr>
          <w:rStyle w:val="sb8d990e2"/>
          <w:rFonts w:cs="Times New Roman"/>
          <w:color w:val="000000"/>
          <w:sz w:val="23"/>
          <w:szCs w:val="23"/>
          <w:shd w:val="clear" w:color="auto" w:fill="FFFFFF"/>
        </w:rPr>
        <w:t xml:space="preserve"> etkiyi dikkate almaktadır. (</w:t>
      </w:r>
      <w:r w:rsidR="007D42DB" w:rsidRPr="004335C6">
        <w:rPr>
          <w:rStyle w:val="s6b621b36"/>
          <w:rFonts w:cs="Times New Roman"/>
          <w:i/>
          <w:iCs/>
          <w:color w:val="000000"/>
          <w:sz w:val="23"/>
          <w:szCs w:val="23"/>
          <w:shd w:val="clear" w:color="auto" w:fill="FFFFFF"/>
        </w:rPr>
        <w:t>mutatis mutandis</w:t>
      </w:r>
      <w:r w:rsidR="007D42DB" w:rsidRPr="004335C6">
        <w:rPr>
          <w:rStyle w:val="sb8d990e2"/>
          <w:rFonts w:cs="Times New Roman"/>
          <w:color w:val="000000"/>
          <w:sz w:val="23"/>
          <w:szCs w:val="23"/>
          <w:shd w:val="clear" w:color="auto" w:fill="FFFFFF"/>
        </w:rPr>
        <w:t>,</w:t>
      </w:r>
      <w:r w:rsidR="007D42DB" w:rsidRPr="004335C6">
        <w:rPr>
          <w:rStyle w:val="apple-converted-space"/>
          <w:rFonts w:cs="Times New Roman"/>
          <w:color w:val="000000"/>
          <w:sz w:val="23"/>
          <w:szCs w:val="23"/>
          <w:shd w:val="clear" w:color="auto" w:fill="FFFFFF"/>
        </w:rPr>
        <w:t> </w:t>
      </w:r>
      <w:r w:rsidR="001F5325" w:rsidRPr="004335C6">
        <w:rPr>
          <w:rStyle w:val="s6b621b36"/>
          <w:rFonts w:cs="Times New Roman"/>
          <w:iCs/>
          <w:color w:val="000000"/>
          <w:sz w:val="23"/>
          <w:szCs w:val="23"/>
          <w:shd w:val="clear" w:color="auto" w:fill="FFFFFF"/>
        </w:rPr>
        <w:t>Lombardo ve Diğerleri/</w:t>
      </w:r>
      <w:r w:rsidR="007D42DB" w:rsidRPr="004335C6">
        <w:rPr>
          <w:rStyle w:val="s6b621b36"/>
          <w:rFonts w:cs="Times New Roman"/>
          <w:iCs/>
          <w:color w:val="000000"/>
          <w:sz w:val="23"/>
          <w:szCs w:val="23"/>
          <w:shd w:val="clear" w:color="auto" w:fill="FFFFFF"/>
        </w:rPr>
        <w:t>Malta</w:t>
      </w:r>
      <w:r w:rsidR="007D42DB" w:rsidRPr="004335C6">
        <w:rPr>
          <w:rStyle w:val="sb8d990e2"/>
          <w:rFonts w:cs="Times New Roman"/>
          <w:color w:val="000000"/>
          <w:sz w:val="23"/>
          <w:szCs w:val="23"/>
          <w:shd w:val="clear" w:color="auto" w:fill="FFFFFF"/>
        </w:rPr>
        <w:t>, no.</w:t>
      </w:r>
      <w:r w:rsidR="007D42DB" w:rsidRPr="004335C6">
        <w:rPr>
          <w:rStyle w:val="apple-converted-space"/>
          <w:rFonts w:cs="Times New Roman"/>
          <w:color w:val="000000"/>
          <w:sz w:val="23"/>
          <w:szCs w:val="23"/>
          <w:shd w:val="clear" w:color="auto" w:fill="FFFFFF"/>
        </w:rPr>
        <w:t> </w:t>
      </w:r>
      <w:r w:rsidR="007D42DB" w:rsidRPr="004335C6">
        <w:rPr>
          <w:rFonts w:cs="Times New Roman"/>
          <w:sz w:val="23"/>
          <w:szCs w:val="23"/>
          <w:shd w:val="clear" w:color="auto" w:fill="FFFFFF"/>
        </w:rPr>
        <w:t>7333/06</w:t>
      </w:r>
      <w:r w:rsidRPr="004335C6">
        <w:rPr>
          <w:rStyle w:val="sb8d990e2"/>
          <w:rFonts w:cs="Times New Roman"/>
          <w:color w:val="000000"/>
          <w:sz w:val="23"/>
          <w:szCs w:val="23"/>
          <w:shd w:val="clear" w:color="auto" w:fill="FFFFFF"/>
        </w:rPr>
        <w:t>, § 61, 24.04.</w:t>
      </w:r>
      <w:r w:rsidR="007D42DB" w:rsidRPr="004335C6">
        <w:rPr>
          <w:rStyle w:val="sb8d990e2"/>
          <w:rFonts w:cs="Times New Roman"/>
          <w:color w:val="000000"/>
          <w:sz w:val="23"/>
          <w:szCs w:val="23"/>
          <w:shd w:val="clear" w:color="auto" w:fill="FFFFFF"/>
        </w:rPr>
        <w:t>2007;</w:t>
      </w:r>
      <w:r w:rsidR="007D42DB" w:rsidRPr="004335C6">
        <w:rPr>
          <w:rStyle w:val="apple-converted-space"/>
          <w:rFonts w:cs="Times New Roman"/>
          <w:color w:val="000000"/>
          <w:sz w:val="23"/>
          <w:szCs w:val="23"/>
          <w:shd w:val="clear" w:color="auto" w:fill="FFFFFF"/>
        </w:rPr>
        <w:t> </w:t>
      </w:r>
      <w:r w:rsidR="007D42DB" w:rsidRPr="004335C6">
        <w:rPr>
          <w:rStyle w:val="s6b621b36"/>
          <w:rFonts w:cs="Times New Roman"/>
          <w:iCs/>
          <w:color w:val="000000"/>
          <w:sz w:val="23"/>
          <w:szCs w:val="23"/>
          <w:shd w:val="clear" w:color="auto" w:fill="FFFFFF"/>
        </w:rPr>
        <w:t>Association Ekin</w:t>
      </w:r>
      <w:r w:rsidR="001F5325" w:rsidRPr="004335C6">
        <w:rPr>
          <w:rStyle w:val="s6b621b36"/>
          <w:rFonts w:cs="Times New Roman"/>
          <w:iCs/>
          <w:color w:val="000000"/>
          <w:sz w:val="23"/>
          <w:szCs w:val="23"/>
          <w:shd w:val="clear" w:color="auto" w:fill="FFFFFF"/>
        </w:rPr>
        <w:t>/Fransa</w:t>
      </w:r>
      <w:r w:rsidR="007D42DB" w:rsidRPr="004335C6">
        <w:rPr>
          <w:rStyle w:val="apple-converted-space"/>
          <w:rFonts w:cs="Times New Roman"/>
          <w:color w:val="000000"/>
          <w:sz w:val="23"/>
          <w:szCs w:val="23"/>
          <w:shd w:val="clear" w:color="auto" w:fill="FFFFFF"/>
        </w:rPr>
        <w:t> </w:t>
      </w:r>
      <w:r w:rsidR="007D42DB" w:rsidRPr="004335C6">
        <w:rPr>
          <w:rStyle w:val="sb8d990e2"/>
          <w:rFonts w:cs="Times New Roman"/>
          <w:color w:val="000000"/>
          <w:sz w:val="23"/>
          <w:szCs w:val="23"/>
          <w:shd w:val="clear" w:color="auto" w:fill="FFFFFF"/>
        </w:rPr>
        <w:t>(dec.), no.</w:t>
      </w:r>
      <w:r w:rsidR="007D42DB" w:rsidRPr="004335C6">
        <w:rPr>
          <w:rStyle w:val="apple-converted-space"/>
          <w:rFonts w:cs="Times New Roman"/>
          <w:color w:val="000000"/>
          <w:sz w:val="23"/>
          <w:szCs w:val="23"/>
          <w:shd w:val="clear" w:color="auto" w:fill="FFFFFF"/>
        </w:rPr>
        <w:t> </w:t>
      </w:r>
      <w:r w:rsidR="007D42DB" w:rsidRPr="004335C6">
        <w:rPr>
          <w:rFonts w:cs="Times New Roman"/>
          <w:sz w:val="23"/>
          <w:szCs w:val="23"/>
          <w:shd w:val="clear" w:color="auto" w:fill="FFFFFF"/>
        </w:rPr>
        <w:t>39288/98</w:t>
      </w:r>
      <w:r w:rsidRPr="004335C6">
        <w:rPr>
          <w:rStyle w:val="sb8d990e2"/>
          <w:rFonts w:cs="Times New Roman"/>
          <w:color w:val="000000"/>
          <w:sz w:val="23"/>
          <w:szCs w:val="23"/>
          <w:shd w:val="clear" w:color="auto" w:fill="FFFFFF"/>
        </w:rPr>
        <w:t>, 18.01.</w:t>
      </w:r>
      <w:r w:rsidR="007D42DB" w:rsidRPr="004335C6">
        <w:rPr>
          <w:rStyle w:val="sb8d990e2"/>
          <w:rFonts w:cs="Times New Roman"/>
          <w:color w:val="000000"/>
          <w:sz w:val="23"/>
          <w:szCs w:val="23"/>
          <w:shd w:val="clear" w:color="auto" w:fill="FFFFFF"/>
        </w:rPr>
        <w:t xml:space="preserve">2000; </w:t>
      </w:r>
      <w:r w:rsidR="001F5325" w:rsidRPr="004335C6">
        <w:rPr>
          <w:rStyle w:val="sb8d990e2"/>
          <w:rFonts w:cs="Times New Roman"/>
          <w:color w:val="000000"/>
          <w:sz w:val="23"/>
          <w:szCs w:val="23"/>
          <w:shd w:val="clear" w:color="auto" w:fill="FFFFFF"/>
        </w:rPr>
        <w:t xml:space="preserve">ve </w:t>
      </w:r>
      <w:r w:rsidR="001F5325" w:rsidRPr="004335C6">
        <w:rPr>
          <w:rStyle w:val="s6b621b36"/>
          <w:rFonts w:cs="Times New Roman"/>
          <w:iCs/>
          <w:color w:val="000000"/>
          <w:sz w:val="23"/>
          <w:szCs w:val="23"/>
          <w:shd w:val="clear" w:color="auto" w:fill="FFFFFF"/>
        </w:rPr>
        <w:t>Aktan/Türkiye</w:t>
      </w:r>
      <w:r w:rsidR="007D42DB" w:rsidRPr="004335C6">
        <w:rPr>
          <w:rStyle w:val="sb8d990e2"/>
          <w:rFonts w:cs="Times New Roman"/>
          <w:color w:val="000000"/>
          <w:sz w:val="23"/>
          <w:szCs w:val="23"/>
          <w:shd w:val="clear" w:color="auto" w:fill="FFFFFF"/>
        </w:rPr>
        <w:t>, no.</w:t>
      </w:r>
      <w:r w:rsidR="007D42DB" w:rsidRPr="004335C6">
        <w:rPr>
          <w:rStyle w:val="apple-converted-space"/>
          <w:rFonts w:cs="Times New Roman"/>
          <w:color w:val="000000"/>
          <w:sz w:val="23"/>
          <w:szCs w:val="23"/>
          <w:shd w:val="clear" w:color="auto" w:fill="FFFFFF"/>
        </w:rPr>
        <w:t> </w:t>
      </w:r>
      <w:r w:rsidR="007D42DB" w:rsidRPr="004335C6">
        <w:rPr>
          <w:rFonts w:cs="Times New Roman"/>
          <w:sz w:val="23"/>
          <w:szCs w:val="23"/>
          <w:shd w:val="clear" w:color="auto" w:fill="FFFFFF"/>
        </w:rPr>
        <w:t>20863/02</w:t>
      </w:r>
      <w:r w:rsidRPr="004335C6">
        <w:rPr>
          <w:rStyle w:val="sb8d990e2"/>
          <w:rFonts w:cs="Times New Roman"/>
          <w:color w:val="000000"/>
          <w:sz w:val="23"/>
          <w:szCs w:val="23"/>
          <w:shd w:val="clear" w:color="auto" w:fill="FFFFFF"/>
        </w:rPr>
        <w:t>, §§ 27-28, 23.09.</w:t>
      </w:r>
      <w:r w:rsidR="007D42DB" w:rsidRPr="004335C6">
        <w:rPr>
          <w:rStyle w:val="sb8d990e2"/>
          <w:rFonts w:cs="Times New Roman"/>
          <w:color w:val="000000"/>
          <w:sz w:val="23"/>
          <w:szCs w:val="23"/>
          <w:shd w:val="clear" w:color="auto" w:fill="FFFFFF"/>
        </w:rPr>
        <w:t>2008; Taner Akçam, para. 68).</w:t>
      </w:r>
    </w:p>
    <w:p w:rsidR="007D42DB" w:rsidRPr="004335C6" w:rsidRDefault="007D42DB" w:rsidP="00CD619B">
      <w:pPr>
        <w:pStyle w:val="ListeParagraf"/>
        <w:numPr>
          <w:ilvl w:val="0"/>
          <w:numId w:val="12"/>
        </w:numPr>
        <w:spacing w:before="0" w:after="0"/>
        <w:ind w:right="113"/>
        <w:rPr>
          <w:rStyle w:val="sb8d990e2"/>
          <w:rFonts w:cs="Times New Roman"/>
          <w:sz w:val="23"/>
          <w:szCs w:val="23"/>
        </w:rPr>
      </w:pPr>
      <w:r w:rsidRPr="004335C6">
        <w:rPr>
          <w:rStyle w:val="sb8d990e2"/>
          <w:rFonts w:cs="Times New Roman"/>
          <w:sz w:val="23"/>
          <w:szCs w:val="23"/>
        </w:rPr>
        <w:t xml:space="preserve">AİHM, </w:t>
      </w:r>
      <w:r w:rsidRPr="004335C6">
        <w:rPr>
          <w:rStyle w:val="sb8d990e2"/>
          <w:rFonts w:cs="Times New Roman"/>
          <w:color w:val="000000"/>
          <w:sz w:val="23"/>
          <w:szCs w:val="23"/>
          <w:shd w:val="clear" w:color="auto" w:fill="FFFFFF"/>
        </w:rPr>
        <w:t>ifade özgürlüğü üzerinde caydırıcı</w:t>
      </w:r>
      <w:r w:rsidR="00CD619B" w:rsidRPr="004335C6">
        <w:rPr>
          <w:rStyle w:val="sb8d990e2"/>
          <w:rFonts w:cs="Times New Roman"/>
          <w:color w:val="000000"/>
          <w:sz w:val="23"/>
          <w:szCs w:val="23"/>
          <w:shd w:val="clear" w:color="auto" w:fill="FFFFFF"/>
        </w:rPr>
        <w:t xml:space="preserve"> etkiye sahip bazı koşulların, </w:t>
      </w:r>
      <w:r w:rsidRPr="004335C6">
        <w:rPr>
          <w:rStyle w:val="sb8d990e2"/>
          <w:rFonts w:cs="Times New Roman"/>
          <w:color w:val="000000"/>
          <w:sz w:val="23"/>
          <w:szCs w:val="23"/>
          <w:shd w:val="clear" w:color="auto" w:fill="FFFFFF"/>
        </w:rPr>
        <w:t>kesinleşmiş bir karar ile mahkûm olmamış- ilgililerin, söz konusu</w:t>
      </w:r>
      <w:r w:rsidRPr="004335C6">
        <w:rPr>
          <w:rStyle w:val="apple-converted-space"/>
          <w:rFonts w:cs="Times New Roman"/>
          <w:color w:val="FF0000"/>
          <w:sz w:val="23"/>
          <w:szCs w:val="23"/>
          <w:shd w:val="clear" w:color="auto" w:fill="FFFFFF"/>
        </w:rPr>
        <w:t> </w:t>
      </w:r>
      <w:r w:rsidRPr="004335C6">
        <w:rPr>
          <w:rStyle w:val="sb8d990e2"/>
          <w:rFonts w:cs="Times New Roman"/>
          <w:color w:val="000000"/>
          <w:sz w:val="23"/>
          <w:szCs w:val="23"/>
          <w:shd w:val="clear" w:color="auto" w:fill="FFFFFF"/>
        </w:rPr>
        <w:t xml:space="preserve">özgürlüğe yapılan bir müdahale nedeniyle mağdur sıfatını haiz olduğuna daha önce karar vermiştir: Örneğin, yayınevlerine gönderilen, anonim bir bilgi kaynağının kimliğinin </w:t>
      </w:r>
      <w:r w:rsidRPr="004335C6">
        <w:rPr>
          <w:rStyle w:val="sb8d990e2"/>
          <w:rFonts w:cs="Times New Roman"/>
          <w:color w:val="000000"/>
          <w:sz w:val="23"/>
          <w:szCs w:val="23"/>
          <w:shd w:val="clear" w:color="auto" w:fill="FFFFFF"/>
        </w:rPr>
        <w:lastRenderedPageBreak/>
        <w:t>açıklanması emri verilmesi, emir yerine getirilmemiş olmasına rağmen</w:t>
      </w:r>
      <w:r w:rsidRPr="004335C6">
        <w:rPr>
          <w:rStyle w:val="apple-converted-space"/>
          <w:rFonts w:cs="Times New Roman"/>
          <w:color w:val="000000"/>
          <w:sz w:val="23"/>
          <w:szCs w:val="23"/>
          <w:shd w:val="clear" w:color="auto" w:fill="FFFFFF"/>
        </w:rPr>
        <w:t> müdahele oluşturur</w:t>
      </w:r>
      <w:r w:rsidR="001F5325" w:rsidRPr="004335C6">
        <w:rPr>
          <w:rStyle w:val="apple-converted-space"/>
          <w:rFonts w:cs="Times New Roman"/>
          <w:color w:val="000000"/>
          <w:sz w:val="23"/>
          <w:szCs w:val="23"/>
          <w:shd w:val="clear" w:color="auto" w:fill="FFFFFF"/>
        </w:rPr>
        <w:t xml:space="preserve"> </w:t>
      </w:r>
      <w:r w:rsidRPr="004335C6">
        <w:rPr>
          <w:rStyle w:val="s6b621b36"/>
          <w:rFonts w:cs="Times New Roman"/>
          <w:i/>
          <w:iCs/>
          <w:color w:val="000000"/>
          <w:sz w:val="23"/>
          <w:szCs w:val="23"/>
          <w:shd w:val="clear" w:color="auto" w:fill="FFFFFF"/>
        </w:rPr>
        <w:t>(</w:t>
      </w:r>
      <w:r w:rsidRPr="004335C6">
        <w:rPr>
          <w:rStyle w:val="s6b621b36"/>
          <w:rFonts w:cs="Times New Roman"/>
          <w:iCs/>
          <w:color w:val="000000"/>
          <w:sz w:val="23"/>
          <w:szCs w:val="23"/>
          <w:shd w:val="clear" w:color="auto" w:fill="FFFFFF"/>
        </w:rPr>
        <w:t>Financial Times Ltd ve diğerleri/Birleşik Krallık</w:t>
      </w:r>
      <w:r w:rsidRPr="004335C6">
        <w:rPr>
          <w:rStyle w:val="sb8d990e2"/>
          <w:rFonts w:cs="Times New Roman"/>
          <w:color w:val="000000"/>
          <w:sz w:val="23"/>
          <w:szCs w:val="23"/>
          <w:shd w:val="clear" w:color="auto" w:fill="FFFFFF"/>
        </w:rPr>
        <w:t>, No.</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821/03</w:t>
      </w:r>
      <w:r w:rsidR="00DC79FB" w:rsidRPr="004335C6">
        <w:rPr>
          <w:rStyle w:val="sb8d990e2"/>
          <w:rFonts w:cs="Times New Roman"/>
          <w:color w:val="000000"/>
          <w:sz w:val="23"/>
          <w:szCs w:val="23"/>
          <w:shd w:val="clear" w:color="auto" w:fill="FFFFFF"/>
        </w:rPr>
        <w:t>, § 56, 15.12.</w:t>
      </w:r>
      <w:r w:rsidRPr="004335C6">
        <w:rPr>
          <w:rStyle w:val="sb8d990e2"/>
          <w:rFonts w:cs="Times New Roman"/>
          <w:color w:val="000000"/>
          <w:sz w:val="23"/>
          <w:szCs w:val="23"/>
          <w:shd w:val="clear" w:color="auto" w:fill="FFFFFF"/>
        </w:rPr>
        <w:t>2009); gazetecilerin, ağır şekilde cezalandırılan suçlar nedeniyle haklarında açılan ceza yargılaması kapsamında yaklaşık bir yıl boyunca tutuklu kalması da mağduriyet şartının oluşması için yeterlidir (</w:t>
      </w:r>
      <w:r w:rsidRPr="004335C6">
        <w:rPr>
          <w:rStyle w:val="s6b621b36"/>
          <w:rFonts w:cs="Times New Roman"/>
          <w:iCs/>
          <w:color w:val="000000"/>
          <w:sz w:val="23"/>
          <w:szCs w:val="23"/>
          <w:shd w:val="clear" w:color="auto" w:fill="FFFFFF"/>
        </w:rPr>
        <w:t>Nedim Şener/Türkiye,</w:t>
      </w:r>
      <w:r w:rsidRPr="004335C6">
        <w:rPr>
          <w:rStyle w:val="apple-converted-space"/>
          <w:rFonts w:cs="Times New Roman"/>
          <w:iCs/>
          <w:color w:val="000000"/>
          <w:sz w:val="23"/>
          <w:szCs w:val="23"/>
          <w:shd w:val="clear" w:color="auto" w:fill="FFFFFF"/>
        </w:rPr>
        <w:t> </w:t>
      </w:r>
      <w:r w:rsidRPr="004335C6">
        <w:rPr>
          <w:rStyle w:val="sb8d990e2"/>
          <w:rFonts w:cs="Times New Roman"/>
          <w:color w:val="000000"/>
          <w:sz w:val="23"/>
          <w:szCs w:val="23"/>
          <w:shd w:val="clear" w:color="auto" w:fill="FFFFFF"/>
        </w:rPr>
        <w:t>No.</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38270/11</w:t>
      </w:r>
      <w:r w:rsidRPr="004335C6">
        <w:rPr>
          <w:rStyle w:val="sb8d990e2"/>
          <w:rFonts w:cs="Times New Roman"/>
          <w:color w:val="000000"/>
          <w:sz w:val="23"/>
          <w:szCs w:val="23"/>
          <w:shd w:val="clear" w:color="auto" w:fill="FFFFFF"/>
        </w:rPr>
        <w:t xml:space="preserve">, </w:t>
      </w:r>
      <w:r w:rsidR="001F5325" w:rsidRPr="004335C6">
        <w:rPr>
          <w:rStyle w:val="sb8d990e2"/>
          <w:rFonts w:cs="Times New Roman"/>
          <w:color w:val="000000"/>
          <w:sz w:val="23"/>
          <w:szCs w:val="23"/>
          <w:shd w:val="clear" w:color="auto" w:fill="FFFFFF"/>
        </w:rPr>
        <w:t>para. 94-96;</w:t>
      </w:r>
      <w:r w:rsidRPr="004335C6">
        <w:rPr>
          <w:rStyle w:val="sb8d990e2"/>
          <w:rFonts w:cs="Times New Roman"/>
          <w:color w:val="000000"/>
          <w:sz w:val="23"/>
          <w:szCs w:val="23"/>
          <w:shd w:val="clear" w:color="auto" w:fill="FFFFFF"/>
        </w:rPr>
        <w:t xml:space="preserve"> 8</w:t>
      </w:r>
      <w:r w:rsidR="001F5325" w:rsidRPr="004335C6">
        <w:rPr>
          <w:rStyle w:val="sb8d990e2"/>
          <w:rFonts w:cs="Times New Roman"/>
          <w:color w:val="000000"/>
          <w:sz w:val="23"/>
          <w:szCs w:val="23"/>
          <w:shd w:val="clear" w:color="auto" w:fill="FFFFFF"/>
        </w:rPr>
        <w:t>.7.</w:t>
      </w:r>
      <w:r w:rsidRPr="004335C6">
        <w:rPr>
          <w:rStyle w:val="sb8d990e2"/>
          <w:rFonts w:cs="Times New Roman"/>
          <w:color w:val="000000"/>
          <w:sz w:val="23"/>
          <w:szCs w:val="23"/>
          <w:shd w:val="clear" w:color="auto" w:fill="FFFFFF"/>
        </w:rPr>
        <w:t xml:space="preserve"> 2014 ve</w:t>
      </w:r>
      <w:r w:rsidRPr="004335C6">
        <w:rPr>
          <w:rStyle w:val="apple-converted-space"/>
          <w:rFonts w:cs="Times New Roman"/>
          <w:color w:val="000000"/>
          <w:sz w:val="23"/>
          <w:szCs w:val="23"/>
          <w:shd w:val="clear" w:color="auto" w:fill="FFFFFF"/>
        </w:rPr>
        <w:t> </w:t>
      </w:r>
      <w:r w:rsidRPr="004335C6">
        <w:rPr>
          <w:rStyle w:val="s6b621b36"/>
          <w:rFonts w:cs="Times New Roman"/>
          <w:iCs/>
          <w:color w:val="000000"/>
          <w:sz w:val="23"/>
          <w:szCs w:val="23"/>
          <w:shd w:val="clear" w:color="auto" w:fill="FFFFFF"/>
        </w:rPr>
        <w:t>Şık/Türkiye,</w:t>
      </w:r>
      <w:r w:rsidRPr="004335C6">
        <w:rPr>
          <w:rStyle w:val="apple-converted-space"/>
          <w:rFonts w:cs="Times New Roman"/>
          <w:iCs/>
          <w:color w:val="000000"/>
          <w:sz w:val="23"/>
          <w:szCs w:val="23"/>
          <w:shd w:val="clear" w:color="auto" w:fill="FFFFFF"/>
        </w:rPr>
        <w:t> </w:t>
      </w:r>
      <w:r w:rsidRPr="004335C6">
        <w:rPr>
          <w:rStyle w:val="sb8d990e2"/>
          <w:rFonts w:cs="Times New Roman"/>
          <w:color w:val="000000"/>
          <w:sz w:val="23"/>
          <w:szCs w:val="23"/>
          <w:shd w:val="clear" w:color="auto" w:fill="FFFFFF"/>
        </w:rPr>
        <w:t>No.</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53413/11</w:t>
      </w:r>
      <w:r w:rsidRPr="004335C6">
        <w:rPr>
          <w:rStyle w:val="sb8d990e2"/>
          <w:rFonts w:cs="Times New Roman"/>
          <w:color w:val="000000"/>
          <w:sz w:val="23"/>
          <w:szCs w:val="23"/>
          <w:shd w:val="clear" w:color="auto" w:fill="FFFFFF"/>
        </w:rPr>
        <w:t xml:space="preserve">, </w:t>
      </w:r>
      <w:r w:rsidR="001F5325" w:rsidRPr="004335C6">
        <w:rPr>
          <w:rStyle w:val="sb8d990e2"/>
          <w:rFonts w:cs="Times New Roman"/>
          <w:color w:val="000000"/>
          <w:sz w:val="23"/>
          <w:szCs w:val="23"/>
          <w:shd w:val="clear" w:color="auto" w:fill="FFFFFF"/>
        </w:rPr>
        <w:t>para</w:t>
      </w:r>
      <w:r w:rsidR="00DC79FB" w:rsidRPr="004335C6">
        <w:rPr>
          <w:rStyle w:val="sb8d990e2"/>
          <w:rFonts w:cs="Times New Roman"/>
          <w:color w:val="000000"/>
          <w:sz w:val="23"/>
          <w:szCs w:val="23"/>
          <w:shd w:val="clear" w:color="auto" w:fill="FFFFFF"/>
        </w:rPr>
        <w:t xml:space="preserve"> 83</w:t>
      </w:r>
      <w:r w:rsidR="00DC79FB" w:rsidRPr="004335C6">
        <w:rPr>
          <w:rStyle w:val="sb8d990e2"/>
          <w:rFonts w:cs="Times New Roman"/>
          <w:color w:val="000000"/>
          <w:sz w:val="23"/>
          <w:szCs w:val="23"/>
          <w:shd w:val="clear" w:color="auto" w:fill="FFFFFF"/>
        </w:rPr>
        <w:noBreakHyphen/>
        <w:t>85, 8.07.</w:t>
      </w:r>
      <w:r w:rsidRPr="004335C6">
        <w:rPr>
          <w:rStyle w:val="sb8d990e2"/>
          <w:rFonts w:cs="Times New Roman"/>
          <w:color w:val="000000"/>
          <w:sz w:val="23"/>
          <w:szCs w:val="23"/>
          <w:shd w:val="clear" w:color="auto" w:fill="FFFFFF"/>
        </w:rPr>
        <w:t xml:space="preserve">2014). </w:t>
      </w:r>
    </w:p>
    <w:p w:rsidR="007D42DB" w:rsidRPr="004335C6" w:rsidRDefault="007D42DB" w:rsidP="00CD619B">
      <w:pPr>
        <w:pStyle w:val="ListeParagraf"/>
        <w:numPr>
          <w:ilvl w:val="0"/>
          <w:numId w:val="12"/>
        </w:numPr>
        <w:spacing w:before="0" w:after="0"/>
        <w:ind w:right="113"/>
        <w:rPr>
          <w:rStyle w:val="sb8d990e2"/>
          <w:rFonts w:cs="Times New Roman"/>
          <w:sz w:val="23"/>
          <w:szCs w:val="23"/>
        </w:rPr>
      </w:pPr>
      <w:r w:rsidRPr="004335C6">
        <w:rPr>
          <w:rStyle w:val="sb8d990e2"/>
          <w:rFonts w:cs="Times New Roman"/>
          <w:sz w:val="23"/>
          <w:szCs w:val="23"/>
        </w:rPr>
        <w:t>Wille/Lihtenştayn davasında,</w:t>
      </w:r>
      <w:r w:rsidRPr="004335C6">
        <w:rPr>
          <w:rStyle w:val="sb8d990e2"/>
          <w:rFonts w:cs="Times New Roman"/>
          <w:color w:val="000000"/>
          <w:sz w:val="23"/>
          <w:szCs w:val="23"/>
          <w:shd w:val="clear" w:color="auto" w:fill="FFFFFF"/>
        </w:rPr>
        <w:t xml:space="preserve"> Yüksek İdare Mahkemesi Başkanı olan başvuranın, anayasal bir sorunla ilgili olarak, Prensin görüşüne aykırı olabilecek bir görüş beyan etmesi nedeniyle Prens tarafından başvurucuya yazılan mektupta aynı göreve tekrar atanmayacağının kendisine bildirilmesi, başvurucunun mağdur sayılması için yeterli olmuştur. Her ne kadar başvurucu, daha sonra fiilen de Prens tarafından göreve atanmamışsa da 10. madde anlamında mağduriyetin doğması için mektubun gönderilmesi yeterli olmuştur. (</w:t>
      </w:r>
      <w:r w:rsidRPr="004335C6">
        <w:rPr>
          <w:rStyle w:val="s6b621b36"/>
          <w:rFonts w:cs="Times New Roman"/>
          <w:i/>
          <w:iCs/>
          <w:color w:val="000000"/>
          <w:sz w:val="23"/>
          <w:szCs w:val="23"/>
          <w:shd w:val="clear" w:color="auto" w:fill="FFFFFF"/>
        </w:rPr>
        <w:t>Wille/Lihtenştayn</w:t>
      </w:r>
      <w:r w:rsidRPr="004335C6">
        <w:rPr>
          <w:rStyle w:val="apple-converted-space"/>
          <w:rFonts w:cs="Times New Roman"/>
          <w:iCs/>
          <w:color w:val="000000"/>
          <w:sz w:val="23"/>
          <w:szCs w:val="23"/>
          <w:shd w:val="clear" w:color="auto" w:fill="FFFFFF"/>
        </w:rPr>
        <w:t> </w:t>
      </w:r>
      <w:r w:rsidRPr="004335C6">
        <w:rPr>
          <w:rStyle w:val="sb8d990e2"/>
          <w:rFonts w:cs="Times New Roman"/>
          <w:color w:val="000000"/>
          <w:sz w:val="23"/>
          <w:szCs w:val="23"/>
          <w:shd w:val="clear" w:color="auto" w:fill="FFFFFF"/>
        </w:rPr>
        <w:t>[BD], No.</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28396/95</w:t>
      </w:r>
      <w:r w:rsidRPr="004335C6">
        <w:rPr>
          <w:rStyle w:val="sb8d990e2"/>
          <w:rFonts w:cs="Times New Roman"/>
          <w:color w:val="000000"/>
          <w:sz w:val="23"/>
          <w:szCs w:val="23"/>
          <w:shd w:val="clear" w:color="auto" w:fill="FFFFFF"/>
        </w:rPr>
        <w:t>, § 50, AİHM 1999</w:t>
      </w:r>
      <w:r w:rsidRPr="004335C6">
        <w:rPr>
          <w:rStyle w:val="sb8d990e2"/>
          <w:rFonts w:cs="Times New Roman"/>
          <w:color w:val="000000"/>
          <w:sz w:val="23"/>
          <w:szCs w:val="23"/>
          <w:shd w:val="clear" w:color="auto" w:fill="FFFFFF"/>
        </w:rPr>
        <w:noBreakHyphen/>
        <w:t>VII).</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Style w:val="sb8d990e2"/>
          <w:rFonts w:cs="Times New Roman"/>
          <w:color w:val="000000"/>
          <w:sz w:val="23"/>
          <w:szCs w:val="23"/>
          <w:shd w:val="clear" w:color="auto" w:fill="FFFFFF"/>
        </w:rPr>
        <w:t xml:space="preserve">Taner Akçam/Türkiye davasında, başvurucu hakkında milliyetçi bir kişi tarafından şikayet olduğu için TCK md. 301 uyarınca soruşturma açılmıştır. Başvurucu savcıya ifade vermiş ve fakat Savcı başvurucunun açıklamasının Sözleşme’nin 10. maddesi kapsamında olduğunu belirterek dava açmamıştır. Bununla birlikte, AİHM Hrant Dink/Türkiye davasını da dikkate alarak </w:t>
      </w:r>
      <w:r w:rsidRPr="004335C6">
        <w:rPr>
          <w:rStyle w:val="apple-converted-space"/>
          <w:rFonts w:cs="Times New Roman"/>
          <w:color w:val="000000"/>
          <w:sz w:val="23"/>
          <w:szCs w:val="23"/>
          <w:shd w:val="clear" w:color="auto" w:fill="FFFFFF"/>
        </w:rPr>
        <w:t> (</w:t>
      </w:r>
      <w:r w:rsidRPr="004335C6">
        <w:rPr>
          <w:rStyle w:val="s6b621b36"/>
          <w:rFonts w:cs="Times New Roman"/>
          <w:iCs/>
          <w:color w:val="000000"/>
          <w:sz w:val="23"/>
          <w:szCs w:val="23"/>
          <w:shd w:val="clear" w:color="auto" w:fill="FFFFFF"/>
        </w:rPr>
        <w:t>Dink</w:t>
      </w:r>
      <w:r w:rsidR="001F5325" w:rsidRPr="004335C6">
        <w:rPr>
          <w:rStyle w:val="s6b621b36"/>
          <w:rFonts w:cs="Times New Roman"/>
          <w:iCs/>
          <w:color w:val="000000"/>
          <w:sz w:val="23"/>
          <w:szCs w:val="23"/>
          <w:shd w:val="clear" w:color="auto" w:fill="FFFFFF"/>
        </w:rPr>
        <w:t>/Türkiye</w:t>
      </w:r>
      <w:r w:rsidR="00CD619B" w:rsidRPr="004335C6">
        <w:rPr>
          <w:rStyle w:val="sb8d990e2"/>
          <w:rFonts w:cs="Times New Roman"/>
          <w:color w:val="000000"/>
          <w:sz w:val="23"/>
          <w:szCs w:val="23"/>
          <w:shd w:val="clear" w:color="auto" w:fill="FFFFFF"/>
        </w:rPr>
        <w:t>, no</w:t>
      </w:r>
      <w:r w:rsidRPr="004335C6">
        <w:rPr>
          <w:rStyle w:val="sb8d990e2"/>
          <w:rFonts w:cs="Times New Roman"/>
          <w:color w:val="000000"/>
          <w:sz w:val="23"/>
          <w:szCs w:val="23"/>
          <w:shd w:val="clear" w:color="auto" w:fill="FFFFFF"/>
        </w:rPr>
        <w:t>.</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2668/07</w:t>
      </w:r>
      <w:r w:rsidRPr="004335C6">
        <w:rPr>
          <w:rStyle w:val="sb8d990e2"/>
          <w:rFonts w:cs="Times New Roman"/>
          <w:color w:val="000000"/>
          <w:sz w:val="23"/>
          <w:szCs w:val="23"/>
          <w:shd w:val="clear" w:color="auto" w:fill="FFFFFF"/>
        </w:rPr>
        <w:t>,</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6102/08</w:t>
      </w:r>
      <w:r w:rsidRPr="004335C6">
        <w:rPr>
          <w:rStyle w:val="sb8d990e2"/>
          <w:rFonts w:cs="Times New Roman"/>
          <w:color w:val="000000"/>
          <w:sz w:val="23"/>
          <w:szCs w:val="23"/>
          <w:shd w:val="clear" w:color="auto" w:fill="FFFFFF"/>
        </w:rPr>
        <w:t>,</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30079/08</w:t>
      </w:r>
      <w:r w:rsidRPr="004335C6">
        <w:rPr>
          <w:rStyle w:val="sb8d990e2"/>
          <w:rFonts w:cs="Times New Roman"/>
          <w:color w:val="000000"/>
          <w:sz w:val="23"/>
          <w:szCs w:val="23"/>
          <w:shd w:val="clear" w:color="auto" w:fill="FFFFFF"/>
        </w:rPr>
        <w:t>,</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7072/09</w:t>
      </w:r>
      <w:r w:rsidRPr="004335C6">
        <w:rPr>
          <w:rStyle w:val="apple-converted-space"/>
          <w:rFonts w:cs="Times New Roman"/>
          <w:color w:val="000000"/>
          <w:sz w:val="23"/>
          <w:szCs w:val="23"/>
          <w:shd w:val="clear" w:color="auto" w:fill="FFFFFF"/>
        </w:rPr>
        <w:t> </w:t>
      </w:r>
      <w:r w:rsidR="00CD619B" w:rsidRPr="004335C6">
        <w:rPr>
          <w:rStyle w:val="sb8d990e2"/>
          <w:rFonts w:cs="Times New Roman"/>
          <w:color w:val="000000"/>
          <w:sz w:val="23"/>
          <w:szCs w:val="23"/>
          <w:shd w:val="clear" w:color="auto" w:fill="FFFFFF"/>
        </w:rPr>
        <w:t>ve</w:t>
      </w:r>
      <w:r w:rsidRPr="004335C6">
        <w:rPr>
          <w:rStyle w:val="apple-converted-space"/>
          <w:rFonts w:cs="Times New Roman"/>
          <w:color w:val="000000"/>
          <w:sz w:val="23"/>
          <w:szCs w:val="23"/>
          <w:shd w:val="clear" w:color="auto" w:fill="FFFFFF"/>
        </w:rPr>
        <w:t> </w:t>
      </w:r>
      <w:r w:rsidRPr="004335C6">
        <w:rPr>
          <w:rFonts w:cs="Times New Roman"/>
          <w:sz w:val="23"/>
          <w:szCs w:val="23"/>
          <w:shd w:val="clear" w:color="auto" w:fill="FFFFFF"/>
        </w:rPr>
        <w:t>7124/09</w:t>
      </w:r>
      <w:r w:rsidRPr="004335C6">
        <w:rPr>
          <w:rStyle w:val="sb8d990e2"/>
          <w:rFonts w:cs="Times New Roman"/>
          <w:color w:val="000000"/>
          <w:sz w:val="23"/>
          <w:szCs w:val="23"/>
          <w:shd w:val="clear" w:color="auto" w:fill="FFFFFF"/>
        </w:rPr>
        <w:t xml:space="preserve">, para. 107, ECHR 2010), hakkında bu şekilde soruşturma açılan kişilerin Türklüğe hakaret eden, “hain” “ajan” damgasını yediğini ve hatta Dink davasında </w:t>
      </w:r>
      <w:r w:rsidR="00874D4C" w:rsidRPr="004335C6">
        <w:rPr>
          <w:rStyle w:val="sb8d990e2"/>
          <w:rFonts w:cs="Times New Roman"/>
          <w:color w:val="000000"/>
          <w:sz w:val="23"/>
          <w:szCs w:val="23"/>
          <w:shd w:val="clear" w:color="auto" w:fill="FFFFFF"/>
        </w:rPr>
        <w:t xml:space="preserve">Başvurucunun </w:t>
      </w:r>
      <w:r w:rsidRPr="004335C6">
        <w:rPr>
          <w:rStyle w:val="sb8d990e2"/>
          <w:rFonts w:cs="Times New Roman"/>
          <w:color w:val="000000"/>
          <w:sz w:val="23"/>
          <w:szCs w:val="23"/>
          <w:shd w:val="clear" w:color="auto" w:fill="FFFFFF"/>
        </w:rPr>
        <w:t xml:space="preserve">ultra milliyetçiler tarafından bu nedenle öldürüldüğünü belirtmiştir. Bu nedenle, </w:t>
      </w:r>
      <w:r w:rsidRPr="004335C6">
        <w:rPr>
          <w:rFonts w:cs="Times New Roman"/>
          <w:color w:val="000000"/>
          <w:sz w:val="23"/>
          <w:szCs w:val="23"/>
          <w:shd w:val="clear" w:color="auto" w:fill="FFFFFF"/>
        </w:rPr>
        <w:t xml:space="preserve">Mahkeme bu bağlamda, başvuran hakkında 301. </w:t>
      </w:r>
      <w:r w:rsidR="00874D4C" w:rsidRPr="004335C6">
        <w:rPr>
          <w:rFonts w:cs="Times New Roman"/>
          <w:color w:val="000000"/>
          <w:sz w:val="23"/>
          <w:szCs w:val="23"/>
          <w:shd w:val="clear" w:color="auto" w:fill="FFFFFF"/>
        </w:rPr>
        <w:t>m</w:t>
      </w:r>
      <w:r w:rsidRPr="004335C6">
        <w:rPr>
          <w:rFonts w:cs="Times New Roman"/>
          <w:color w:val="000000"/>
          <w:sz w:val="23"/>
          <w:szCs w:val="23"/>
          <w:shd w:val="clear" w:color="auto" w:fill="FFFFFF"/>
        </w:rPr>
        <w:t>adde uyarınca kovuşturma başlatılmaması ve kendisinin suçlu bulunmamasına rağmen, Ermenilere ilişkin görüşleri nedeniyle aşırı uç görüşlü kişiler tarafından hakkında yapılan suç duyurularının taciz kampanyalarına dönüştüğünü ve bu hüküm uyarınca başvuranın suçlamalara yanıt vermek zorunda bırakıldığını belirtir. İhtilaflı hükmün başvuran aleyhine uygulanmamasına rağmen, gelecekte başvuran aleyhine açılma olasılığı olan soruşturmanın başvuranı strese sokacağı, kaygılandıracağı ve kovuşturma açılması korkusu yaratacağı gerçeği kabul edilebilir.” (para. 75)</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color w:val="000000"/>
          <w:sz w:val="23"/>
          <w:szCs w:val="23"/>
          <w:shd w:val="clear" w:color="auto" w:fill="FFFFFF"/>
        </w:rPr>
        <w:t>Dilipak/Türkiye kararında da başvurucu hakkındaki dava zamanaşımı nedeniyle düşmüştür. Dava bitmeden AİHM’e başvuran başvurucu hakkında AİHM “Bir yandan, başvuranın aleyhindeki suç isnadının kayda değer hatta aşırı bir süre boyunca derdest kaldığı (yukarıda 29. paragraf); öte yandan, ilgili halen gazeteci ve siyasi köşe yazarı olarak ülkenin genel politikası ile silahlı kuvvetlerin ilişkilerine değinen konularla ilgili makaleler imzalasa da, ceza yargılaması boyunca olduğu gibi gelecek zamanda da hukuki planda tedirgin edici olaylar yaşayamayacağından emin olamamaktadır” ifadelerini kullanarak, hüküm giymemesine rağmen mağduriyet koşulunun gerçekleştiğine karar vermiştir. (Dilipak/Türkiye, no. 29680/05, 15.9.2015, para. 49)</w:t>
      </w:r>
    </w:p>
    <w:p w:rsidR="007D42D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Çocuklarının ana dilde eğitim hakkı için verdikleri dilekçe nedeniyle terör örgütüne yardım ve yataklıktan yargılanan ebeveynlerin başvurucu olduğu Döner ve Diğerleri davasında AİHM, başvurucuların beraat etmesinin mağduriyet sıfatını kaldırmaya yeterli olmayacağını, ulusal makamların Sözleşme ihlalini açıkça ve kararın içeriğinde kabul edip giderimi sağlamadıkları takdirde mağdur sıfatının devam edeceğine karar vermiştir. (Döner ve Diğerleri/Türkiye, no. 29994/02, 7.3.2017, para. 89)</w:t>
      </w:r>
    </w:p>
    <w:p w:rsidR="007D42DB" w:rsidRPr="004335C6" w:rsidRDefault="007D42DB" w:rsidP="00836466">
      <w:pPr>
        <w:pStyle w:val="Balk3"/>
        <w:ind w:left="113" w:right="113"/>
        <w:rPr>
          <w:rFonts w:cs="Times New Roman"/>
          <w:sz w:val="23"/>
          <w:szCs w:val="23"/>
        </w:rPr>
      </w:pPr>
      <w:r w:rsidRPr="004335C6">
        <w:rPr>
          <w:rFonts w:cs="Times New Roman"/>
          <w:sz w:val="23"/>
          <w:szCs w:val="23"/>
        </w:rPr>
        <w:t>İçtihadın Olaya Uygulanması</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Yukarıda açıklandığı gibi bu başvurunun ana dayanağını başvurucunun bir Olağanüstü Hal KHK’si ile ihraç edilmesi oluşturmaktadır. Türkiye’de OHAL </w:t>
      </w:r>
      <w:r w:rsidRPr="004335C6">
        <w:rPr>
          <w:rFonts w:cs="Times New Roman"/>
          <w:sz w:val="23"/>
          <w:szCs w:val="23"/>
        </w:rPr>
        <w:lastRenderedPageBreak/>
        <w:t>ilanından sonra bu şekilde 130 bin kişi ihraç edilmiştir. Bununla birlikte, başvurunun konusu sadece bu ihraç işlemi olmayıp, belirli bir siyasi konuda başvurucu ve çok sayıda başka akademisyen ve entelektüeli</w:t>
      </w:r>
      <w:r w:rsidR="00CD619B" w:rsidRPr="004335C6">
        <w:rPr>
          <w:rFonts w:cs="Times New Roman"/>
          <w:sz w:val="23"/>
          <w:szCs w:val="23"/>
        </w:rPr>
        <w:t>n konuşmasının engellenmesidir.</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Başvurucunun imzaladığı “Bu Suça Ortak Olmayacağız” metni, Türkiye’de 2015 yılının Temmuz ayından itibaren başlatılan güvenlik operasyonlarının insan haklarını ağır bir şekilde ihlal ettiği iddiasına dayanmaktadır. Bu iddia hem güvenilir uluslararası insan hakları örgütleri tarafından, hem de Birleşmiş Milletler ve Avrupa Konseyi organları tarafından da çeşitli vesilelerle dile getirilmiştir. Sokağa çıkma yasakları sırasında yaşanan ağır ihlaller hakkında AİHM tarafından kabul edilebilirlik kararı verilmiş, Avrupa Konseyi İnsan Hakları Komiseri de bu davaya müdahil olmuştur. </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Türkiye’de bir kişinin insan hakları ihlallerine dikkat çekmesi hükümet ve ona bağımlı yargı mercileri tarafından terörist olma şeklinde anlaşılmaktadır. Amaç bu konuların konuşulmasını, toptan engellemektir. Bu amaçla 13 milletvekili ve 159 gazeteci yanında çok sayıda kişi tutuklanmış, binlerce kişi hakkında da ceza soruşturması açılmıştır. </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Olaylar kısmında açıklandığı gibi başvurucu görüşünü ifade ettiği için hakkında idari ve adli soruşturma açılmış, ayrıca bir OHAL KHK</w:t>
      </w:r>
      <w:r w:rsidR="003573BE" w:rsidRPr="004335C6">
        <w:rPr>
          <w:rFonts w:cs="Times New Roman"/>
          <w:sz w:val="23"/>
          <w:szCs w:val="23"/>
        </w:rPr>
        <w:t>’</w:t>
      </w:r>
      <w:r w:rsidRPr="004335C6">
        <w:rPr>
          <w:rFonts w:cs="Times New Roman"/>
          <w:sz w:val="23"/>
          <w:szCs w:val="23"/>
        </w:rPr>
        <w:t>si ile işini kaybetmiştir. Metnin arkasında durduğunu söyleyen akademisyenler tutuklanmış</w:t>
      </w:r>
      <w:r w:rsidRPr="004335C6">
        <w:rPr>
          <w:rStyle w:val="DipnotBavurusu"/>
          <w:rFonts w:cs="Times New Roman"/>
          <w:sz w:val="23"/>
          <w:szCs w:val="23"/>
        </w:rPr>
        <w:footnoteReference w:id="8"/>
      </w:r>
      <w:r w:rsidRPr="004335C6">
        <w:rPr>
          <w:rFonts w:cs="Times New Roman"/>
          <w:sz w:val="23"/>
          <w:szCs w:val="23"/>
        </w:rPr>
        <w:t>, baskı altında imzasını çekenler ise işe iade edilmiştir</w:t>
      </w:r>
      <w:r w:rsidR="00F4559F">
        <w:rPr>
          <w:rFonts w:cs="Times New Roman"/>
          <w:sz w:val="23"/>
          <w:szCs w:val="23"/>
        </w:rPr>
        <w:t xml:space="preserve"> </w:t>
      </w:r>
      <w:r w:rsidR="005E4298" w:rsidRPr="004335C6">
        <w:rPr>
          <w:rFonts w:cs="Times New Roman"/>
          <w:sz w:val="23"/>
          <w:szCs w:val="23"/>
        </w:rPr>
        <w:t>(</w:t>
      </w:r>
      <w:bookmarkStart w:id="0" w:name="_GoBack"/>
      <w:bookmarkEnd w:id="0"/>
      <w:r w:rsidR="00890202" w:rsidRPr="00F4559F">
        <w:rPr>
          <w:rFonts w:cs="Times New Roman"/>
          <w:sz w:val="23"/>
          <w:szCs w:val="23"/>
          <w:highlight w:val="green"/>
        </w:rPr>
        <w:t>Ek-15</w:t>
      </w:r>
      <w:r w:rsidR="005E4298" w:rsidRPr="00F4559F">
        <w:rPr>
          <w:rFonts w:cs="Times New Roman"/>
          <w:sz w:val="23"/>
          <w:szCs w:val="23"/>
          <w:highlight w:val="green"/>
        </w:rPr>
        <w:t>)</w:t>
      </w:r>
      <w:r w:rsidRPr="00F4559F">
        <w:rPr>
          <w:rFonts w:cs="Times New Roman"/>
          <w:sz w:val="23"/>
          <w:szCs w:val="23"/>
          <w:highlight w:val="green"/>
        </w:rPr>
        <w:t>.</w:t>
      </w:r>
      <w:r w:rsidRPr="004335C6">
        <w:rPr>
          <w:rFonts w:cs="Times New Roman"/>
          <w:sz w:val="23"/>
          <w:szCs w:val="23"/>
        </w:rPr>
        <w:t xml:space="preserve"> Benzer açıklamaları yapan insan hakları savunucuları, gazeteciler ve aydınlar hakkında yapılanlarla birlikte düşünüldüğünde, başvurucunun Devletin insan hakları ihlalleri hakkında konuştuğu her durumda yaptırıma maruz kaldığı, vicdanen söylediklerini reddettiğinde ise yaptırımların kaldırıldığı görülmektedir. </w:t>
      </w:r>
    </w:p>
    <w:p w:rsidR="007D42D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Görüldüğü gibi başvurucunun mağduriyeti yukarıda özetlenen içtihatta görülenlerden çok daha sistematik ve yoğun bir baskının sonucudur. Bizzat siyasi iktidarın başında bulunan ve hiçbir şekilde emir ve talimatlarının dışına çıkılamayan Cumhurbaşkanı tarafından başlatılan bu baskının ortadan kaldırılması da mümkün değildir. </w:t>
      </w:r>
      <w:r w:rsidR="001F5325" w:rsidRPr="004335C6">
        <w:rPr>
          <w:rFonts w:cs="Times New Roman"/>
          <w:sz w:val="23"/>
          <w:szCs w:val="23"/>
        </w:rPr>
        <w:t xml:space="preserve">Başvurucu Devletin insan hakları ihlalini dile getirdiği anda yaptırıma uğramakta bu konuda tek kelime edemez hale gelmektedir. </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Başvurucu imzaladığı bir metin nedeniyle önce hakkında idari ve adli soruşturma</w:t>
      </w:r>
      <w:r w:rsidR="003573BE" w:rsidRPr="004335C6">
        <w:rPr>
          <w:rFonts w:cs="Times New Roman"/>
          <w:sz w:val="23"/>
          <w:szCs w:val="23"/>
        </w:rPr>
        <w:t>ya tabi tutulmuş</w:t>
      </w:r>
      <w:r w:rsidRPr="004335C6">
        <w:rPr>
          <w:rFonts w:cs="Times New Roman"/>
          <w:sz w:val="23"/>
          <w:szCs w:val="23"/>
        </w:rPr>
        <w:t xml:space="preserve"> sonrasında da bir OHAL KHKsi ile kamu görevinden çıkarılmıştır. Hakkındaki idari ve adli soruşturma halen devam etmektedir. Kamu görevinden çıkarılma kararına karşı ise hali hazırda etkili bir hukuk yolu yoktur. Her ne kadar iç hukuk yolları başlığı altında tartışılan 685 Sayılı KHK ile bir Komisyon kurulması öngörülmüşse de, henüz başvuru almaya başlamayan bu Komisyonun da müdahaleyi kaldıracak nitelikte olmadığı açıktır. </w:t>
      </w:r>
    </w:p>
    <w:p w:rsidR="00CD619B" w:rsidRPr="004335C6" w:rsidRDefault="00F446DE" w:rsidP="00CD619B">
      <w:pPr>
        <w:pStyle w:val="ListeParagraf"/>
        <w:numPr>
          <w:ilvl w:val="0"/>
          <w:numId w:val="12"/>
        </w:numPr>
        <w:spacing w:before="0" w:after="0"/>
        <w:ind w:right="113"/>
        <w:rPr>
          <w:rFonts w:cs="Times New Roman"/>
          <w:sz w:val="23"/>
          <w:szCs w:val="23"/>
        </w:rPr>
      </w:pPr>
      <w:r w:rsidRPr="004335C6">
        <w:rPr>
          <w:rFonts w:cs="Times New Roman"/>
          <w:sz w:val="23"/>
          <w:szCs w:val="23"/>
        </w:rPr>
        <w:t>OHAL</w:t>
      </w:r>
      <w:r w:rsidR="007D42DB" w:rsidRPr="004335C6">
        <w:rPr>
          <w:rFonts w:cs="Times New Roman"/>
          <w:sz w:val="23"/>
          <w:szCs w:val="23"/>
        </w:rPr>
        <w:t xml:space="preserve"> Komisyonu</w:t>
      </w:r>
      <w:r w:rsidR="00CD619B" w:rsidRPr="004335C6">
        <w:rPr>
          <w:rFonts w:cs="Times New Roman"/>
          <w:sz w:val="23"/>
          <w:szCs w:val="23"/>
        </w:rPr>
        <w:t>nu</w:t>
      </w:r>
      <w:r w:rsidR="007D42DB" w:rsidRPr="004335C6">
        <w:rPr>
          <w:rFonts w:cs="Times New Roman"/>
          <w:sz w:val="23"/>
          <w:szCs w:val="23"/>
        </w:rPr>
        <w:t xml:space="preserve">n ihraçlarla ilgili tüketilmesi gerekli bir hukuk yolu olduğu varsayılsa bile, bu başvurunun konusunu oluşturan başvurucunun ifade özgürlüğünü koruma yönünde hiçbir etkisinin olmayacağı açıktır. </w:t>
      </w:r>
      <w:r w:rsidR="00CD619B" w:rsidRPr="004335C6">
        <w:rPr>
          <w:rFonts w:cs="Times New Roman"/>
          <w:sz w:val="23"/>
          <w:szCs w:val="23"/>
        </w:rPr>
        <w:t>Yukarıda da belirtildiği üzere k</w:t>
      </w:r>
      <w:r w:rsidR="007D42DB" w:rsidRPr="004335C6">
        <w:rPr>
          <w:rFonts w:cs="Times New Roman"/>
          <w:sz w:val="23"/>
          <w:szCs w:val="23"/>
        </w:rPr>
        <w:t xml:space="preserve">omisyon bu başvurunun konusunu oluşturan başvurucunun Devletin insan hakları ihlallerini eleştirdiği için sistematik bir baskı altına alınmasına ilişkin hiçbir çözüm getirmemektedir. </w:t>
      </w:r>
    </w:p>
    <w:p w:rsidR="00CD619B" w:rsidRPr="004335C6" w:rsidRDefault="00F446DE" w:rsidP="00CD619B">
      <w:pPr>
        <w:pStyle w:val="ListeParagraf"/>
        <w:numPr>
          <w:ilvl w:val="0"/>
          <w:numId w:val="12"/>
        </w:numPr>
        <w:spacing w:before="0" w:after="0"/>
        <w:ind w:right="113"/>
        <w:rPr>
          <w:rFonts w:cs="Times New Roman"/>
          <w:sz w:val="23"/>
          <w:szCs w:val="23"/>
        </w:rPr>
      </w:pPr>
      <w:r w:rsidRPr="004335C6">
        <w:rPr>
          <w:rFonts w:cs="Times New Roman"/>
          <w:sz w:val="23"/>
          <w:szCs w:val="23"/>
        </w:rPr>
        <w:t>AİHM, Fevzi Saygılı/Türkiye davasında, hükümetin başvurucunun 5233 Sayılı Yasa ile kurulan Tazminat Komisyonuna başvurmadığı için iç hukuk yolunu tüket</w:t>
      </w:r>
      <w:r w:rsidR="001A513A" w:rsidRPr="004335C6">
        <w:rPr>
          <w:rFonts w:cs="Times New Roman"/>
          <w:sz w:val="23"/>
          <w:szCs w:val="23"/>
        </w:rPr>
        <w:t xml:space="preserve">mediği iddiasına ilişkin olarak, ifade özgürlüğü ihlalinin ileri sürüldüğü başvuruda ulusal makamların açıkça veya esasta Sözleşmenin ihlal edildiğini kabul edip uygun bir giderim sağlamadıkları durumda mağduriyet halinin ortadan kalkmayacağını </w:t>
      </w:r>
      <w:r w:rsidR="001A513A" w:rsidRPr="004335C6">
        <w:rPr>
          <w:rFonts w:cs="Times New Roman"/>
          <w:sz w:val="23"/>
          <w:szCs w:val="23"/>
        </w:rPr>
        <w:lastRenderedPageBreak/>
        <w:t>saptamıştır. (</w:t>
      </w:r>
      <w:r w:rsidR="00406552" w:rsidRPr="004335C6">
        <w:rPr>
          <w:rFonts w:cs="Times New Roman"/>
          <w:sz w:val="23"/>
          <w:szCs w:val="23"/>
        </w:rPr>
        <w:t xml:space="preserve">Fevzi Saygılı/Türkiye, no. </w:t>
      </w:r>
      <w:r w:rsidR="003F2AD3" w:rsidRPr="004335C6">
        <w:rPr>
          <w:rFonts w:cs="Times New Roman"/>
          <w:sz w:val="23"/>
          <w:szCs w:val="23"/>
        </w:rPr>
        <w:t>74243/01, 08.01.2008, para. 23)</w:t>
      </w:r>
      <w:r w:rsidR="00E11937" w:rsidRPr="004335C6">
        <w:rPr>
          <w:rFonts w:cs="Times New Roman"/>
          <w:sz w:val="23"/>
          <w:szCs w:val="23"/>
        </w:rPr>
        <w:t>. Sarıgül/Türkiye başvurusunda da başvurucunun, 6384 Sayılı Yasayla kurulmuş Tazminat Komisyonuna başvurmamış olması iç hukuk yollarını tüketme kuralına aykırı görülmemiştir. Başvurucunun ifade özgürlüğüne ilişkin ihlal iddiasını inceleme yetkisi olmayan Komisyonun bu mağduriyeti giderme ihtimali de bulunmamaktadır. (Sarıgül/Türkiye, no. 28691/05, 23.5.2017, para. 34-38)</w:t>
      </w:r>
    </w:p>
    <w:p w:rsidR="007D42DB" w:rsidRPr="004335C6" w:rsidRDefault="00E11937"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OHAL </w:t>
      </w:r>
      <w:r w:rsidR="007D42DB" w:rsidRPr="004335C6">
        <w:rPr>
          <w:rFonts w:cs="Times New Roman"/>
          <w:sz w:val="23"/>
          <w:szCs w:val="23"/>
        </w:rPr>
        <w:t>Komisyon</w:t>
      </w:r>
      <w:r w:rsidRPr="004335C6">
        <w:rPr>
          <w:rFonts w:cs="Times New Roman"/>
          <w:sz w:val="23"/>
          <w:szCs w:val="23"/>
        </w:rPr>
        <w:t>u</w:t>
      </w:r>
      <w:r w:rsidR="007D42DB" w:rsidRPr="004335C6">
        <w:rPr>
          <w:rFonts w:cs="Times New Roman"/>
          <w:sz w:val="23"/>
          <w:szCs w:val="23"/>
        </w:rPr>
        <w:t xml:space="preserve"> önünde bu başvuruya konu olan başvurucunun ifade özgürlüğü ihlaline ilişkin talepleri hiçbir şekilde incelenmemektedir. Başvurucuya ne gerekçe ile ihraç edildiği açıklanmış değildir, bu nedenle başvurucu sadece bir belgeye imza atmanın ihraç için yeterli olmadığını ileri sürecek Komisyon da dosya üstünden bunu değerlendirecektir. Bu nedenle, Komisyonun iddia olunan ifade özgürlüğü ihlaline son vermesi mümkün değildir. </w:t>
      </w:r>
    </w:p>
    <w:p w:rsidR="007D42DB" w:rsidRPr="004335C6" w:rsidRDefault="007D42DB" w:rsidP="00836466">
      <w:pPr>
        <w:pStyle w:val="Balk2"/>
        <w:ind w:left="113" w:right="113" w:firstLine="0"/>
        <w:rPr>
          <w:rFonts w:cs="Times New Roman"/>
          <w:sz w:val="23"/>
          <w:szCs w:val="23"/>
        </w:rPr>
      </w:pPr>
      <w:r w:rsidRPr="004335C6">
        <w:rPr>
          <w:rFonts w:cs="Times New Roman"/>
          <w:sz w:val="23"/>
          <w:szCs w:val="23"/>
        </w:rPr>
        <w:t>Kanunla Sınırlandırma İlkesi</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Başvurucu hakkında yürütülen işlemlerin yasal dayanağı bulunmamaktadır. Ayrıntıları ekte sunulan</w:t>
      </w:r>
      <w:r w:rsidR="007E7EEE" w:rsidRPr="004335C6">
        <w:rPr>
          <w:rFonts w:cs="Times New Roman"/>
          <w:sz w:val="23"/>
          <w:szCs w:val="23"/>
        </w:rPr>
        <w:t xml:space="preserve"> </w:t>
      </w:r>
      <w:r w:rsidRPr="004335C6">
        <w:rPr>
          <w:rFonts w:cs="Times New Roman"/>
          <w:sz w:val="23"/>
          <w:szCs w:val="23"/>
        </w:rPr>
        <w:t>Kerem Altıparmak ve Yaman Akdeniz tarafından kaleme alınan “Barış için Akademisyenler” kitabının Birinci Bölümünde açıklandığı üzere, metnin yayımlandığı tarihte bir üniversite öğretim üyesi hakkında idari soruşturma açmayı mümkün kılacak bir yasal düzenleme bulunmamaktadır. Bu nedenle, aynı eylemi 2000</w:t>
      </w:r>
      <w:r w:rsidR="005A5217" w:rsidRPr="004335C6">
        <w:rPr>
          <w:rFonts w:cs="Times New Roman"/>
          <w:sz w:val="23"/>
          <w:szCs w:val="23"/>
        </w:rPr>
        <w:t>’</w:t>
      </w:r>
      <w:r w:rsidRPr="004335C6">
        <w:rPr>
          <w:rFonts w:cs="Times New Roman"/>
          <w:sz w:val="23"/>
          <w:szCs w:val="23"/>
        </w:rPr>
        <w:t>i aşkın akademisyen gerçekleştirmiş olmasına rağmen bazıları</w:t>
      </w:r>
      <w:r w:rsidR="00CD619B" w:rsidRPr="004335C6">
        <w:rPr>
          <w:rFonts w:cs="Times New Roman"/>
          <w:sz w:val="23"/>
          <w:szCs w:val="23"/>
        </w:rPr>
        <w:t xml:space="preserve"> hakkında hiçbir soruşturma açılmamış, açılanlardan bazıları</w:t>
      </w:r>
      <w:r w:rsidRPr="004335C6">
        <w:rPr>
          <w:rFonts w:cs="Times New Roman"/>
          <w:sz w:val="23"/>
          <w:szCs w:val="23"/>
        </w:rPr>
        <w:t xml:space="preserve">na hiçbir ceza verilmemiş, bazıları hakkında uyarma/kınama cezası verilmiş, bazıları ise ihraç talebiyle YÖK’e sevk edilmiştir. Bu husus dahi, eylemin gerçekleştiği tarihte yaptırım için öngörülebilir bir yasal dayanak olmadığını ortaya koymaktadır. </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Başvurucunun ihracına ilişkin </w:t>
      </w:r>
      <w:r w:rsidRPr="00AA0229">
        <w:rPr>
          <w:rFonts w:cs="Times New Roman"/>
          <w:sz w:val="23"/>
          <w:szCs w:val="23"/>
          <w:highlight w:val="yellow"/>
        </w:rPr>
        <w:t>686 Sayılı KHK</w:t>
      </w:r>
      <w:r w:rsidRPr="004335C6">
        <w:rPr>
          <w:rFonts w:cs="Times New Roman"/>
          <w:sz w:val="23"/>
          <w:szCs w:val="23"/>
        </w:rPr>
        <w:t xml:space="preserve"> de ifade özgürlüğünün yasal dayanak olmadan sınırlandırılması niteliğini taşımaktadır. İhracın dayanağı olan hüküm “</w:t>
      </w:r>
      <w:r w:rsidRPr="004335C6">
        <w:rPr>
          <w:rFonts w:eastAsia="Calibri" w:cs="Times New Roman"/>
          <w:i/>
          <w:sz w:val="23"/>
          <w:szCs w:val="23"/>
        </w:rPr>
        <w:t>Terör örgütlerine veya Milli Güvenlik Kurulunca Devletin milli güvenliğine karşı faaliyette bulunduğuna karar verilen yapı, oluşum veya gruplara üyeliği, mensubiyeti veya iltisakı</w:t>
      </w:r>
      <w:r w:rsidRPr="004335C6">
        <w:rPr>
          <w:rFonts w:cs="Times New Roman"/>
          <w:sz w:val="23"/>
          <w:szCs w:val="23"/>
        </w:rPr>
        <w:t xml:space="preserve"> </w:t>
      </w:r>
      <w:r w:rsidRPr="004335C6">
        <w:rPr>
          <w:rFonts w:cs="Times New Roman"/>
          <w:i/>
          <w:sz w:val="23"/>
          <w:szCs w:val="23"/>
        </w:rPr>
        <w:t>yahut bunlarla irtibatı</w:t>
      </w:r>
      <w:r w:rsidRPr="004335C6">
        <w:rPr>
          <w:rFonts w:eastAsia="Calibri" w:cs="Times New Roman"/>
          <w:sz w:val="23"/>
          <w:szCs w:val="23"/>
        </w:rPr>
        <w:t>” olmaktır. Suçlanan eylem Ocak 2016</w:t>
      </w:r>
      <w:r w:rsidR="005A5217" w:rsidRPr="004335C6">
        <w:rPr>
          <w:rFonts w:eastAsia="Calibri" w:cs="Times New Roman"/>
          <w:sz w:val="23"/>
          <w:szCs w:val="23"/>
        </w:rPr>
        <w:t>’</w:t>
      </w:r>
      <w:r w:rsidRPr="004335C6">
        <w:rPr>
          <w:rFonts w:eastAsia="Calibri" w:cs="Times New Roman"/>
          <w:sz w:val="23"/>
          <w:szCs w:val="23"/>
        </w:rPr>
        <w:t>da yayımlanan bir bildiri</w:t>
      </w:r>
      <w:r w:rsidR="00CD619B" w:rsidRPr="004335C6">
        <w:rPr>
          <w:rFonts w:eastAsia="Calibri" w:cs="Times New Roman"/>
          <w:sz w:val="23"/>
          <w:szCs w:val="23"/>
        </w:rPr>
        <w:t>nin imzalanmasıdır.</w:t>
      </w:r>
      <w:r w:rsidRPr="004335C6">
        <w:rPr>
          <w:rFonts w:eastAsia="Calibri" w:cs="Times New Roman"/>
          <w:sz w:val="23"/>
          <w:szCs w:val="23"/>
        </w:rPr>
        <w:t xml:space="preserve"> Bir an için bu bildirinin </w:t>
      </w:r>
      <w:r w:rsidR="00CD619B" w:rsidRPr="004335C6">
        <w:rPr>
          <w:rFonts w:eastAsia="Calibri" w:cs="Times New Roman"/>
          <w:sz w:val="23"/>
          <w:szCs w:val="23"/>
        </w:rPr>
        <w:t xml:space="preserve">imzalanması eyleminin </w:t>
      </w:r>
      <w:r w:rsidRPr="004335C6">
        <w:rPr>
          <w:rFonts w:eastAsia="Calibri" w:cs="Times New Roman"/>
          <w:sz w:val="23"/>
          <w:szCs w:val="23"/>
        </w:rPr>
        <w:t>iltisak veya irtibat niteliği taşıdığı kabul edilecek olsa bile ilk defa 667 Sayılı KHK ile 23 Temmuz 2016</w:t>
      </w:r>
      <w:r w:rsidR="005A5217" w:rsidRPr="004335C6">
        <w:rPr>
          <w:rFonts w:eastAsia="Calibri" w:cs="Times New Roman"/>
          <w:sz w:val="23"/>
          <w:szCs w:val="23"/>
        </w:rPr>
        <w:t>’</w:t>
      </w:r>
      <w:r w:rsidRPr="004335C6">
        <w:rPr>
          <w:rFonts w:eastAsia="Calibri" w:cs="Times New Roman"/>
          <w:sz w:val="23"/>
          <w:szCs w:val="23"/>
        </w:rPr>
        <w:t>da düzenlenen bu yaptırımın Ocak 2016</w:t>
      </w:r>
      <w:r w:rsidR="005A5217" w:rsidRPr="004335C6">
        <w:rPr>
          <w:rFonts w:eastAsia="Calibri" w:cs="Times New Roman"/>
          <w:sz w:val="23"/>
          <w:szCs w:val="23"/>
        </w:rPr>
        <w:t>’</w:t>
      </w:r>
      <w:r w:rsidRPr="004335C6">
        <w:rPr>
          <w:rFonts w:eastAsia="Calibri" w:cs="Times New Roman"/>
          <w:sz w:val="23"/>
          <w:szCs w:val="23"/>
        </w:rPr>
        <w:t>da öngörülebilir olmadığı açıktır. Bu nedenle, imza metninin yayımlandığı 11 Ocak 2016 tarihinde öngörülebilir olmayan “</w:t>
      </w:r>
      <w:r w:rsidRPr="004335C6">
        <w:rPr>
          <w:rFonts w:eastAsia="Calibri" w:cs="Times New Roman"/>
          <w:i/>
          <w:sz w:val="23"/>
          <w:szCs w:val="23"/>
        </w:rPr>
        <w:t>üyelik, mensubiyet, iltisakı</w:t>
      </w:r>
      <w:r w:rsidRPr="004335C6">
        <w:rPr>
          <w:rFonts w:cs="Times New Roman"/>
          <w:i/>
          <w:sz w:val="23"/>
          <w:szCs w:val="23"/>
        </w:rPr>
        <w:t xml:space="preserve"> yahut bunlarla irtibatı</w:t>
      </w:r>
      <w:r w:rsidRPr="004335C6">
        <w:rPr>
          <w:rFonts w:eastAsia="Calibri" w:cs="Times New Roman"/>
          <w:sz w:val="23"/>
          <w:szCs w:val="23"/>
        </w:rPr>
        <w:t xml:space="preserve">” hükmünün başvurucuya geriye yönelik olarak uygulanamayacağı açıktır. </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eastAsia="Calibri" w:cs="Times New Roman"/>
          <w:sz w:val="23"/>
          <w:szCs w:val="23"/>
        </w:rPr>
        <w:t xml:space="preserve">Kaldı ki iltisak ve irtibat kavramlarının ne anlama geldiği belirsizdir. </w:t>
      </w:r>
      <w:r w:rsidR="005A5217" w:rsidRPr="004335C6">
        <w:rPr>
          <w:rFonts w:cs="Times New Roman"/>
          <w:sz w:val="23"/>
          <w:szCs w:val="23"/>
        </w:rPr>
        <w:t>İ</w:t>
      </w:r>
      <w:r w:rsidRPr="004335C6">
        <w:rPr>
          <w:rFonts w:cs="Times New Roman"/>
          <w:sz w:val="23"/>
          <w:szCs w:val="23"/>
        </w:rPr>
        <w:t>fade özgürlüğüne yönelik müdahale ve sınırlamaların dayanağını oluşturan yasa “erişilebilir” ve “öngörülebilir” olmalıdır (Sunday Times/Birleşik Krallık; Larissis ve Diğerleri/Yunanistan, 140/1996/759/958-960, 24.02.1998; Rotaru/Romanya, 28341/95, 04.05.2000). Başka bir ifadeyle yasa, ilgili kişinin davranışlarını belirlemesi amacıyla, kolayca ulaşabileceği, gerektiğinde profesyonel yardım almak suretiyle de olsa anlayabileceği, açık, net ve yeterince  belirgin olma niteliklerini taşımalıdır (</w:t>
      </w:r>
      <w:r w:rsidRPr="004335C6">
        <w:rPr>
          <w:rFonts w:cs="Times New Roman"/>
          <w:iCs/>
          <w:sz w:val="23"/>
          <w:szCs w:val="23"/>
        </w:rPr>
        <w:t>Altuğ Taner</w:t>
      </w:r>
      <w:r w:rsidRPr="004335C6">
        <w:rPr>
          <w:rFonts w:cs="Times New Roman"/>
          <w:sz w:val="23"/>
          <w:szCs w:val="23"/>
        </w:rPr>
        <w:t> </w:t>
      </w:r>
      <w:r w:rsidRPr="004335C6">
        <w:rPr>
          <w:rFonts w:cs="Times New Roman"/>
          <w:iCs/>
          <w:sz w:val="23"/>
          <w:szCs w:val="23"/>
        </w:rPr>
        <w:t>Akçam/Türkiye</w:t>
      </w:r>
      <w:r w:rsidRPr="004335C6">
        <w:rPr>
          <w:rFonts w:cs="Times New Roman"/>
          <w:sz w:val="23"/>
          <w:szCs w:val="23"/>
        </w:rPr>
        <w:t>, B.No: 27520/07, 25.10.2011, § 87; </w:t>
      </w:r>
      <w:r w:rsidRPr="004335C6">
        <w:rPr>
          <w:rFonts w:cs="Times New Roman"/>
          <w:iCs/>
          <w:sz w:val="23"/>
          <w:szCs w:val="23"/>
        </w:rPr>
        <w:t>Yıldırım/Türkiye</w:t>
      </w:r>
      <w:r w:rsidRPr="004335C6">
        <w:rPr>
          <w:rFonts w:cs="Times New Roman"/>
          <w:sz w:val="23"/>
          <w:szCs w:val="23"/>
        </w:rPr>
        <w:t xml:space="preserve">, B.No: 3111/10, 18.12.2012, para. 57). Bu nitelikleri taşımayan bir norm ise yasa olarak kabul edilemeyecektir. (Sıryk/Ukrayna </w:t>
      </w:r>
      <w:r w:rsidRPr="004335C6">
        <w:rPr>
          <w:rFonts w:cs="Times New Roman"/>
          <w:iCs/>
          <w:sz w:val="23"/>
          <w:szCs w:val="23"/>
        </w:rPr>
        <w:t>no. 6428/07</w:t>
      </w:r>
      <w:r w:rsidRPr="004335C6">
        <w:rPr>
          <w:rFonts w:cs="Times New Roman"/>
          <w:sz w:val="23"/>
          <w:szCs w:val="23"/>
        </w:rPr>
        <w:t>, 30.06.2011, para.34). Kuralda açıkça öngörülmeyen bir husus içtihatla oluşturulmuşsa 10. maddenin 2. fıkrası anlamında bir yasadan bahsetmek mümkün olacaktır. (Huvig/Fransa, no. 11105/84, 24.4.1990, para. 28). Soyut kuralların yeni koşullara göre yorumlanması beklenebilir (S.W./Birleşik Krallık, no. 20166/92, 22.11.1995, para. 36).</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Ne var ki, başvurucunun ihraç edilmesine gerekçe olan hükmün içtihat yoluyla açıklığa kavuşturulması veya idari pratiklerle belirgin hale getirilmesi söz konusu </w:t>
      </w:r>
      <w:r w:rsidRPr="004335C6">
        <w:rPr>
          <w:rFonts w:cs="Times New Roman"/>
          <w:sz w:val="23"/>
          <w:szCs w:val="23"/>
        </w:rPr>
        <w:lastRenderedPageBreak/>
        <w:t xml:space="preserve">değildir. Hangi eylemlerin iltisak, hangi eylemlerin irtibat olduğunu gösterir hiçbir kural, uygulama, idari pratik mevcut değildir. Bunun içindir ki aynı metni imzalamış olan akademisyenlerin bir kısmı ihraç edilmiş, bir kısmı açığa alınmış, bir kısmı görevine devam etmiştir. Bu açıdan da kuralın açık ve öngörülebilir nitelik taşımadığı açıktır. </w:t>
      </w:r>
    </w:p>
    <w:p w:rsidR="007D42D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Nihayet başvurucu hakkında yürütülen soruşturmanın akıbeti de belirsizdir. İstanbul’da konuyla ilgili bir soruşturma açılıp bazı akademisyenler TMK 7/2den tutuklanmış</w:t>
      </w:r>
      <w:r w:rsidR="00CD619B" w:rsidRPr="004335C6">
        <w:rPr>
          <w:rFonts w:cs="Times New Roman"/>
          <w:sz w:val="23"/>
          <w:szCs w:val="23"/>
        </w:rPr>
        <w:t>, yargılanmaya başlamış;</w:t>
      </w:r>
      <w:r w:rsidRPr="004335C6">
        <w:rPr>
          <w:rFonts w:cs="Times New Roman"/>
          <w:sz w:val="23"/>
          <w:szCs w:val="23"/>
        </w:rPr>
        <w:t xml:space="preserve"> ancak daha sonra suçun TCK’nin 301. maddesine uygun olduğu iddia edilmiştir. Olayın üstünden 1,5 yıl geçmesine ve çok ağır yaptırımlar söz konusu olmasına rağmen savcılar eylemin hangi suçu oluşturduğuna karar verememiştir. Bu nedenle, ceza hukuku bakımından da öngörülemezlik söz konusudur.</w:t>
      </w:r>
    </w:p>
    <w:p w:rsidR="00FA3BA9" w:rsidRPr="004335C6" w:rsidRDefault="007D42DB" w:rsidP="00836466">
      <w:pPr>
        <w:pStyle w:val="Balk2"/>
        <w:ind w:left="113" w:right="113" w:firstLine="0"/>
        <w:rPr>
          <w:rFonts w:cs="Times New Roman"/>
          <w:sz w:val="23"/>
          <w:szCs w:val="23"/>
        </w:rPr>
      </w:pPr>
      <w:r w:rsidRPr="004335C6">
        <w:rPr>
          <w:rFonts w:cs="Times New Roman"/>
          <w:sz w:val="23"/>
          <w:szCs w:val="23"/>
        </w:rPr>
        <w:t>Demokratik Toplum Düzeninde Gereklilik Ölçütü Bakımından</w:t>
      </w:r>
    </w:p>
    <w:p w:rsidR="00CD619B" w:rsidRPr="004335C6" w:rsidRDefault="007D42D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Tüm bu yaptırıma konu olan ekte sunulan Barış için Akademisyenler metni  “Sur’da, Silvan’da, Nusaybin’de, Cizre’de, Silopi’de ve daha pek çok yerde haftalarca süren sokağa çıkma yasakları altında fiilen açlığa ve susuzluğa mahkûm etmekte, yerleşim yerlerine ancak bir savaşta kullanılacak ağır silahlarla saldırarak, yaşam hakkı, özgürlük ve güvenlik hakkı, işkence ve kötü muamele yasağı başta olmak üzere </w:t>
      </w:r>
      <w:r w:rsidRPr="004335C6">
        <w:rPr>
          <w:rFonts w:cs="Times New Roman"/>
          <w:b/>
          <w:sz w:val="23"/>
          <w:szCs w:val="23"/>
        </w:rPr>
        <w:t>anayasa ve taraf olduğu uluslararası sözleşmeler ile koruma altına alınmış olan hemen tüm hak ve özgürlükleri ihlal etmektedir</w:t>
      </w:r>
      <w:r w:rsidRPr="004335C6">
        <w:rPr>
          <w:rFonts w:cs="Times New Roman"/>
          <w:sz w:val="23"/>
          <w:szCs w:val="23"/>
        </w:rPr>
        <w:t>” dedikten sonra operasyonları “</w:t>
      </w:r>
      <w:r w:rsidRPr="004335C6">
        <w:rPr>
          <w:rFonts w:cs="Times New Roman"/>
          <w:b/>
          <w:sz w:val="23"/>
          <w:szCs w:val="23"/>
        </w:rPr>
        <w:t>kasıtlı ve planlı kıyım” olarak nitelendirerek</w:t>
      </w:r>
      <w:r w:rsidRPr="004335C6">
        <w:rPr>
          <w:rFonts w:cs="Times New Roman"/>
          <w:sz w:val="23"/>
          <w:szCs w:val="23"/>
        </w:rPr>
        <w:t xml:space="preserve"> Türkiye’nin kendi hukukunun ve Türkiye'nin taraf olduğu uluslararası antlaşmaların, uluslararası teamül hukukunun ve uluslararası hukukun </w:t>
      </w:r>
      <w:r w:rsidRPr="004335C6">
        <w:rPr>
          <w:rFonts w:cs="Times New Roman"/>
          <w:b/>
          <w:sz w:val="23"/>
          <w:szCs w:val="23"/>
        </w:rPr>
        <w:t>emredici kurallarının da ağır bir ihlali niteliğinde olduğunu vurgulamıştır.</w:t>
      </w:r>
    </w:p>
    <w:p w:rsidR="0044721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AİHM’in şiddet ve ifade arasındaki dengeyi kurduğu 1999 Türkiye kararları</w:t>
      </w:r>
      <w:r w:rsidRPr="004335C6">
        <w:rPr>
          <w:rStyle w:val="DipnotBavurusu"/>
          <w:rFonts w:cs="Times New Roman"/>
          <w:sz w:val="23"/>
          <w:szCs w:val="23"/>
        </w:rPr>
        <w:footnoteReference w:id="9"/>
      </w:r>
      <w:r w:rsidRPr="004335C6">
        <w:rPr>
          <w:rFonts w:cs="Times New Roman"/>
          <w:sz w:val="23"/>
          <w:szCs w:val="23"/>
        </w:rPr>
        <w:t xml:space="preserve"> ve onu izleyen içtihat, sözü söyleyen kişi ve kullanılan aracı da dikkate alan </w:t>
      </w:r>
      <w:r w:rsidRPr="004335C6">
        <w:rPr>
          <w:rFonts w:cs="Times New Roman"/>
          <w:color w:val="000000"/>
          <w:sz w:val="23"/>
          <w:szCs w:val="23"/>
        </w:rPr>
        <w:t>“şiddete tahrik ettiği söylenemeyeceği gibi şiddete tahrik eder şekilde de yorumlanamaz” formülüyle üçlü kümülatif bir testi zorunlu kılmıştır:</w:t>
      </w:r>
    </w:p>
    <w:p w:rsidR="0044721B" w:rsidRPr="004335C6" w:rsidRDefault="0044721B" w:rsidP="00836466">
      <w:pPr>
        <w:pStyle w:val="ListeParagraf"/>
        <w:spacing w:before="0" w:after="0"/>
        <w:ind w:left="113" w:right="113" w:firstLine="0"/>
        <w:rPr>
          <w:rFonts w:cs="Times New Roman"/>
          <w:sz w:val="23"/>
          <w:szCs w:val="23"/>
        </w:rPr>
      </w:pPr>
    </w:p>
    <w:p w:rsidR="0044721B" w:rsidRPr="004335C6" w:rsidRDefault="0044721B" w:rsidP="00836466">
      <w:pPr>
        <w:pStyle w:val="NormalWeb"/>
        <w:spacing w:before="0" w:beforeAutospacing="0" w:after="0" w:afterAutospacing="0"/>
        <w:ind w:left="113" w:right="113"/>
        <w:jc w:val="both"/>
        <w:rPr>
          <w:rFonts w:ascii="Times New Roman" w:hAnsi="Times New Roman"/>
          <w:sz w:val="23"/>
          <w:szCs w:val="23"/>
          <w:lang w:val="tr-TR"/>
        </w:rPr>
      </w:pPr>
      <w:r w:rsidRPr="004335C6">
        <w:rPr>
          <w:rFonts w:ascii="Times New Roman" w:hAnsi="Times New Roman"/>
          <w:sz w:val="23"/>
          <w:szCs w:val="23"/>
          <w:lang w:val="tr-TR"/>
        </w:rPr>
        <w:t>i. Sözün kim tarafından, hangi konuda ve hangi araçla söylendiği dikkate alınmış mı?</w:t>
      </w:r>
    </w:p>
    <w:p w:rsidR="0044721B" w:rsidRPr="004335C6" w:rsidRDefault="0044721B" w:rsidP="00836466">
      <w:pPr>
        <w:pStyle w:val="NormalWeb"/>
        <w:spacing w:before="0" w:beforeAutospacing="0" w:after="0" w:afterAutospacing="0"/>
        <w:ind w:left="113" w:right="113"/>
        <w:jc w:val="both"/>
        <w:rPr>
          <w:rFonts w:ascii="Times New Roman" w:hAnsi="Times New Roman"/>
          <w:sz w:val="23"/>
          <w:szCs w:val="23"/>
          <w:lang w:val="tr-TR"/>
        </w:rPr>
      </w:pPr>
      <w:proofErr w:type="spellStart"/>
      <w:r w:rsidRPr="004335C6">
        <w:rPr>
          <w:rFonts w:ascii="Times New Roman" w:hAnsi="Times New Roman"/>
          <w:sz w:val="23"/>
          <w:szCs w:val="23"/>
          <w:lang w:val="tr-TR"/>
        </w:rPr>
        <w:t>ii</w:t>
      </w:r>
      <w:proofErr w:type="spellEnd"/>
      <w:r w:rsidRPr="004335C6">
        <w:rPr>
          <w:rFonts w:ascii="Times New Roman" w:hAnsi="Times New Roman"/>
          <w:sz w:val="23"/>
          <w:szCs w:val="23"/>
          <w:lang w:val="tr-TR"/>
        </w:rPr>
        <w:t>. Şiddete tahrik var mı?</w:t>
      </w:r>
    </w:p>
    <w:p w:rsidR="0044721B" w:rsidRPr="004335C6" w:rsidRDefault="0044721B" w:rsidP="00836466">
      <w:pPr>
        <w:pStyle w:val="NormalWeb"/>
        <w:spacing w:before="0" w:beforeAutospacing="0" w:after="0" w:afterAutospacing="0"/>
        <w:ind w:left="113" w:right="113"/>
        <w:jc w:val="both"/>
        <w:rPr>
          <w:rFonts w:ascii="Times New Roman" w:hAnsi="Times New Roman"/>
          <w:sz w:val="23"/>
          <w:szCs w:val="23"/>
          <w:lang w:val="tr-TR"/>
        </w:rPr>
      </w:pPr>
      <w:proofErr w:type="spellStart"/>
      <w:r w:rsidRPr="004335C6">
        <w:rPr>
          <w:rFonts w:ascii="Times New Roman" w:hAnsi="Times New Roman"/>
          <w:sz w:val="23"/>
          <w:szCs w:val="23"/>
          <w:lang w:val="tr-TR"/>
        </w:rPr>
        <w:t>iii</w:t>
      </w:r>
      <w:proofErr w:type="spellEnd"/>
      <w:r w:rsidRPr="004335C6">
        <w:rPr>
          <w:rFonts w:ascii="Times New Roman" w:hAnsi="Times New Roman"/>
          <w:sz w:val="23"/>
          <w:szCs w:val="23"/>
          <w:lang w:val="tr-TR"/>
        </w:rPr>
        <w:t>. Sözün şiddete yol açma ihtimali var mı?</w:t>
      </w:r>
    </w:p>
    <w:p w:rsidR="0044721B" w:rsidRPr="004335C6" w:rsidRDefault="0044721B" w:rsidP="00836466">
      <w:pPr>
        <w:pStyle w:val="ListeParagraf"/>
        <w:spacing w:before="0" w:after="0"/>
        <w:ind w:left="113" w:right="113" w:firstLine="0"/>
        <w:rPr>
          <w:rFonts w:cs="Times New Roman"/>
          <w:sz w:val="23"/>
          <w:szCs w:val="23"/>
        </w:rPr>
      </w:pPr>
    </w:p>
    <w:p w:rsidR="0044721B" w:rsidRPr="004335C6" w:rsidRDefault="0044721B" w:rsidP="00836466">
      <w:pPr>
        <w:pStyle w:val="Balk3"/>
        <w:ind w:left="113" w:right="113"/>
        <w:rPr>
          <w:rFonts w:cs="Times New Roman"/>
          <w:sz w:val="23"/>
          <w:szCs w:val="23"/>
        </w:rPr>
      </w:pPr>
      <w:r w:rsidRPr="004335C6">
        <w:rPr>
          <w:rFonts w:cs="Times New Roman"/>
          <w:sz w:val="23"/>
          <w:szCs w:val="23"/>
        </w:rPr>
        <w:t>Sözün Kim Tarafından, Hangi Konuda ve Ne Şekilde Söylendiği</w:t>
      </w:r>
    </w:p>
    <w:p w:rsidR="00CD619B" w:rsidRPr="004335C6" w:rsidRDefault="0044721B" w:rsidP="00CD619B">
      <w:pPr>
        <w:pStyle w:val="ListeParagraf"/>
        <w:numPr>
          <w:ilvl w:val="0"/>
          <w:numId w:val="12"/>
        </w:numPr>
        <w:spacing w:before="0" w:after="0"/>
        <w:ind w:right="113"/>
        <w:rPr>
          <w:rFonts w:cs="Times New Roman"/>
          <w:color w:val="000000"/>
          <w:sz w:val="23"/>
          <w:szCs w:val="23"/>
          <w:shd w:val="clear" w:color="auto" w:fill="FFFFFF"/>
        </w:rPr>
      </w:pPr>
      <w:r w:rsidRPr="004335C6">
        <w:rPr>
          <w:rStyle w:val="sb8d990e2"/>
          <w:rFonts w:cs="Times New Roman"/>
          <w:color w:val="000000"/>
          <w:sz w:val="23"/>
          <w:szCs w:val="23"/>
          <w:shd w:val="clear" w:color="auto" w:fill="FFFFFF"/>
        </w:rPr>
        <w:t>Kamusal faydayı ilgilendiren konular hakkındaki tartışma ve siyasi ifade söz konusu olduğunda</w:t>
      </w:r>
      <w:r w:rsidRPr="004335C6">
        <w:rPr>
          <w:rStyle w:val="sb8d990e2"/>
          <w:rFonts w:cs="Times New Roman"/>
          <w:b/>
          <w:color w:val="000000"/>
          <w:sz w:val="23"/>
          <w:szCs w:val="23"/>
          <w:shd w:val="clear" w:color="auto" w:fill="FFFFFF"/>
        </w:rPr>
        <w:t xml:space="preserve"> 10. maddenin 2. fıkrası uyarınca kısıtlama için çok kısıtlı bir alan vardır</w:t>
      </w:r>
      <w:r w:rsidRPr="004335C6">
        <w:rPr>
          <w:rStyle w:val="sb8d990e2"/>
          <w:rFonts w:cs="Times New Roman"/>
          <w:color w:val="000000"/>
          <w:sz w:val="23"/>
          <w:szCs w:val="23"/>
          <w:shd w:val="clear" w:color="auto" w:fill="FFFFFF"/>
        </w:rPr>
        <w:t xml:space="preserve">. Hükümetin toplum üzerindeki baskın pozisyonu, muarızlarının meşru olmayan eleştiri ve saldırılarına karşı, özellikle başka yollarla cevap vermek mümkünse, ceza hukuku araçlarına daha az başvurmasını gerektirir. </w:t>
      </w:r>
      <w:r w:rsidRPr="004335C6">
        <w:rPr>
          <w:rFonts w:cs="Times New Roman"/>
          <w:i/>
          <w:sz w:val="23"/>
          <w:szCs w:val="23"/>
        </w:rPr>
        <w:t xml:space="preserve">Castells </w:t>
      </w:r>
      <w:r w:rsidRPr="004335C6">
        <w:rPr>
          <w:rFonts w:cs="Times New Roman"/>
          <w:sz w:val="23"/>
          <w:szCs w:val="23"/>
        </w:rPr>
        <w:t>kararının ortaya koyduğu üzere ulusal mahkemeler devlet otoritelerine yönelik eleştirileri cezalandırmaktan kaçınmalıdır (</w:t>
      </w:r>
      <w:r w:rsidRPr="004335C6">
        <w:rPr>
          <w:rFonts w:cs="Times New Roman"/>
          <w:i/>
          <w:sz w:val="23"/>
          <w:szCs w:val="23"/>
          <w:lang w:val="en-US"/>
        </w:rPr>
        <w:t>Castells/İspanya</w:t>
      </w:r>
      <w:r w:rsidRPr="004335C6">
        <w:rPr>
          <w:rFonts w:cs="Times New Roman"/>
          <w:sz w:val="23"/>
          <w:szCs w:val="23"/>
          <w:lang w:val="en-US"/>
        </w:rPr>
        <w:t>, no. 11798/85, 23.4.1992, para. 42)</w:t>
      </w:r>
      <w:r w:rsidRPr="004335C6">
        <w:rPr>
          <w:rFonts w:cs="Times New Roman"/>
          <w:sz w:val="23"/>
          <w:szCs w:val="23"/>
        </w:rPr>
        <w:t>.</w:t>
      </w:r>
    </w:p>
    <w:p w:rsidR="00CD619B" w:rsidRPr="004335C6" w:rsidRDefault="0044721B" w:rsidP="00CD619B">
      <w:pPr>
        <w:pStyle w:val="ListeParagraf"/>
        <w:numPr>
          <w:ilvl w:val="0"/>
          <w:numId w:val="12"/>
        </w:numPr>
        <w:spacing w:before="0" w:after="0"/>
        <w:ind w:right="113"/>
        <w:rPr>
          <w:rStyle w:val="sb8d990e2"/>
          <w:rFonts w:cs="Times New Roman"/>
          <w:color w:val="000000"/>
          <w:sz w:val="23"/>
          <w:szCs w:val="23"/>
          <w:shd w:val="clear" w:color="auto" w:fill="FFFFFF"/>
        </w:rPr>
      </w:pPr>
      <w:r w:rsidRPr="004335C6">
        <w:rPr>
          <w:rStyle w:val="sb8d990e2"/>
          <w:rFonts w:cs="Times New Roman"/>
          <w:color w:val="000000"/>
          <w:sz w:val="23"/>
          <w:szCs w:val="23"/>
          <w:shd w:val="clear" w:color="auto" w:fill="FFFFFF"/>
        </w:rPr>
        <w:t xml:space="preserve">Sözü söyleyen kişinin sıfatı ve hangi nitelikte olduğu da önemlidir. </w:t>
      </w:r>
      <w:r w:rsidRPr="004335C6">
        <w:rPr>
          <w:rStyle w:val="sb8d990e2"/>
          <w:rFonts w:cs="Times New Roman"/>
          <w:b/>
          <w:color w:val="000000"/>
          <w:sz w:val="23"/>
          <w:szCs w:val="23"/>
          <w:shd w:val="clear" w:color="auto" w:fill="FFFFFF"/>
        </w:rPr>
        <w:t>Bilimsel çalışmalar ve akademik özgürlük de önemli unsurlardır. Bir uzmanlık bilgisine dayanarak yapılan bir çalışmanın aktarılması söz konusu olduğunda bu hususun dikkate alınması gerekir.</w:t>
      </w:r>
      <w:r w:rsidRPr="004335C6">
        <w:rPr>
          <w:rStyle w:val="sb8d990e2"/>
          <w:rFonts w:cs="Times New Roman"/>
          <w:color w:val="000000"/>
          <w:sz w:val="23"/>
          <w:szCs w:val="23"/>
          <w:shd w:val="clear" w:color="auto" w:fill="FFFFFF"/>
        </w:rPr>
        <w:t xml:space="preserve"> Bir sosyoloğun PKK’nın toplum içerisindeki etkisini ve bir Kürt devletinin temellerinin atılışına ilişkin tarafsız değerlendirmeleri </w:t>
      </w:r>
      <w:r w:rsidRPr="004335C6">
        <w:rPr>
          <w:rStyle w:val="sb8d990e2"/>
          <w:rFonts w:cs="Times New Roman"/>
          <w:color w:val="000000"/>
          <w:sz w:val="23"/>
          <w:szCs w:val="23"/>
          <w:shd w:val="clear" w:color="auto" w:fill="FFFFFF"/>
        </w:rPr>
        <w:lastRenderedPageBreak/>
        <w:t>daha kısıtlı sınırlandırılabilir.</w:t>
      </w:r>
      <w:r w:rsidRPr="004335C6">
        <w:rPr>
          <w:rStyle w:val="DipnotBavurusu"/>
          <w:rFonts w:cs="Times New Roman"/>
          <w:color w:val="000000"/>
          <w:sz w:val="23"/>
          <w:szCs w:val="23"/>
          <w:shd w:val="clear" w:color="auto" w:fill="FFFFFF"/>
        </w:rPr>
        <w:footnoteReference w:id="10"/>
      </w:r>
      <w:r w:rsidRPr="004335C6">
        <w:rPr>
          <w:rStyle w:val="sb8d990e2"/>
          <w:rFonts w:cs="Times New Roman"/>
          <w:color w:val="000000"/>
          <w:sz w:val="23"/>
          <w:szCs w:val="23"/>
          <w:shd w:val="clear" w:color="auto" w:fill="FFFFFF"/>
        </w:rPr>
        <w:t xml:space="preserve"> Keza, ifadenin Türkiye’nin tarihi perspektiften sosyo-ekonomik gelişimine ilişkin bir akademik çalışmada yer alması dikkate alınmalıdır.</w:t>
      </w:r>
      <w:r w:rsidRPr="004335C6">
        <w:rPr>
          <w:rStyle w:val="DipnotBavurusu"/>
          <w:rFonts w:cs="Times New Roman"/>
          <w:color w:val="000000"/>
          <w:sz w:val="23"/>
          <w:szCs w:val="23"/>
          <w:shd w:val="clear" w:color="auto" w:fill="FFFFFF"/>
        </w:rPr>
        <w:footnoteReference w:id="11"/>
      </w:r>
    </w:p>
    <w:p w:rsidR="0044721B" w:rsidRPr="004335C6" w:rsidRDefault="0044721B" w:rsidP="00CD619B">
      <w:pPr>
        <w:pStyle w:val="ListeParagraf"/>
        <w:numPr>
          <w:ilvl w:val="0"/>
          <w:numId w:val="12"/>
        </w:numPr>
        <w:spacing w:before="0" w:after="0"/>
        <w:ind w:right="113"/>
        <w:rPr>
          <w:rFonts w:cs="Times New Roman"/>
          <w:color w:val="000000"/>
          <w:sz w:val="23"/>
          <w:szCs w:val="23"/>
          <w:shd w:val="clear" w:color="auto" w:fill="FFFFFF"/>
        </w:rPr>
      </w:pPr>
      <w:r w:rsidRPr="004335C6">
        <w:rPr>
          <w:rFonts w:cs="Times New Roman"/>
          <w:color w:val="000000"/>
          <w:sz w:val="23"/>
          <w:szCs w:val="23"/>
          <w:shd w:val="clear" w:color="auto" w:fill="FFFFFF"/>
        </w:rPr>
        <w:t xml:space="preserve">BAK Metni, Türkiye’de çatışmaların en yoğunlaştığı bir dönemde, sivil yerleşim yerlerinde ağır silahların kullanıldığı ve bizzat resmi makamların açıklamalarına göre yüzlerce kişinin öldüğü bir dönemde yayımlanmıştır. Metin, Devleti ve hükümetin ülkedeki en ağır siyasi soruna ilişkin aldığı önlemleri eleştirdiği için en geniş siyasi ifade özgürlüğü ölçütlerine göre değerlendirilmelidir. Metne konu olan olaylar, hükümetin güdümündeki medya tarafından tek taraflı olarak aktarılmakta, alternatif görüş ve haberler ise hukuki ve fiili baskılar altında engellenmektedir. Bu açıdan, önde gelen akademisyenlerin toplu bir açıklama yapması, toplumun geniş kesimlerinin çatışma bölgelerinde neler olduğunu öğrenmesi ve sorgulaması açısından hayati öneme sahiptir. </w:t>
      </w:r>
    </w:p>
    <w:p w:rsidR="0044721B" w:rsidRPr="004335C6" w:rsidRDefault="0044721B" w:rsidP="00836466">
      <w:pPr>
        <w:pStyle w:val="Balk3"/>
        <w:ind w:left="113" w:right="113" w:firstLine="0"/>
        <w:rPr>
          <w:rFonts w:cs="Times New Roman"/>
          <w:sz w:val="23"/>
          <w:szCs w:val="23"/>
        </w:rPr>
      </w:pPr>
      <w:r w:rsidRPr="004335C6">
        <w:rPr>
          <w:rFonts w:cs="Times New Roman"/>
          <w:sz w:val="23"/>
          <w:szCs w:val="23"/>
        </w:rPr>
        <w:t>Şiddete Tahrik Unsuru</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b/>
          <w:sz w:val="23"/>
          <w:szCs w:val="23"/>
        </w:rPr>
        <w:t>Bir ifadenin salt ağır olması, hükümeti eleştirmesi ve hatta tek taraflı olması şiddete tahrik ettiği anlamına gelmez</w:t>
      </w:r>
      <w:r w:rsidRPr="004335C6">
        <w:rPr>
          <w:rFonts w:cs="Times New Roman"/>
          <w:sz w:val="23"/>
          <w:szCs w:val="23"/>
        </w:rPr>
        <w:t>. Bu nedenle, Kürdistan’ın Türk Devletine ekli bir koloni olması, Türk Devletinin Kürdistan’ın “siyasi, askeri, kültürel ve ideolojik” açıdan ezen zalim olması, “Faşist hareketin” gelişmesinde Kürtlere karşı “ırkçı inkar politikasına sahip olmasının” bir araç olması</w:t>
      </w:r>
      <w:r w:rsidRPr="004335C6">
        <w:rPr>
          <w:rStyle w:val="DipnotBavurusu"/>
          <w:rFonts w:cs="Times New Roman"/>
          <w:sz w:val="23"/>
          <w:szCs w:val="23"/>
        </w:rPr>
        <w:footnoteReference w:id="12"/>
      </w:r>
      <w:r w:rsidRPr="004335C6">
        <w:rPr>
          <w:rFonts w:cs="Times New Roman"/>
          <w:sz w:val="23"/>
          <w:szCs w:val="23"/>
        </w:rPr>
        <w:t>; Kürt hareketinin hedeflerini romantize etmek hatta “hesaplaşma zamanı” ve “asıl terörist Türkiye Cumhuriyetidir” demek;</w:t>
      </w:r>
      <w:r w:rsidRPr="004335C6">
        <w:rPr>
          <w:rStyle w:val="DipnotBavurusu"/>
          <w:rFonts w:cs="Times New Roman"/>
          <w:sz w:val="23"/>
          <w:szCs w:val="23"/>
        </w:rPr>
        <w:footnoteReference w:id="13"/>
      </w:r>
      <w:r w:rsidRPr="004335C6">
        <w:rPr>
          <w:rFonts w:cs="Times New Roman"/>
          <w:sz w:val="23"/>
          <w:szCs w:val="23"/>
        </w:rPr>
        <w:t xml:space="preserve"> Devletin “gerillalara yönelik kirli savaşını” ve hatta “Kürt halkına karşı açık savaşını” içeren “askeri çözüm” yöntemini kınamak;</w:t>
      </w:r>
      <w:r w:rsidRPr="004335C6">
        <w:rPr>
          <w:rStyle w:val="DipnotBavurusu"/>
          <w:rFonts w:cs="Times New Roman"/>
          <w:sz w:val="23"/>
          <w:szCs w:val="23"/>
        </w:rPr>
        <w:footnoteReference w:id="14"/>
      </w:r>
      <w:r w:rsidRPr="004335C6">
        <w:rPr>
          <w:rFonts w:cs="Times New Roman"/>
          <w:sz w:val="23"/>
          <w:szCs w:val="23"/>
        </w:rPr>
        <w:t xml:space="preserve"> “Kürdistan’ın yandığını” söylemek ve olanları “soykırım olarak nitelemek;</w:t>
      </w:r>
      <w:r w:rsidRPr="004335C6">
        <w:rPr>
          <w:rStyle w:val="DipnotBavurusu"/>
          <w:rFonts w:cs="Times New Roman"/>
          <w:sz w:val="23"/>
          <w:szCs w:val="23"/>
        </w:rPr>
        <w:footnoteReference w:id="15"/>
      </w:r>
      <w:r w:rsidRPr="004335C6">
        <w:rPr>
          <w:rFonts w:cs="Times New Roman"/>
          <w:sz w:val="23"/>
          <w:szCs w:val="23"/>
        </w:rPr>
        <w:t xml:space="preserve"> Devletin “katliam” gerçekleştirdiğini söylemek veya çatışmayı “savaş” olarak tanımlamak</w:t>
      </w:r>
      <w:r w:rsidRPr="004335C6">
        <w:rPr>
          <w:rStyle w:val="DipnotBavurusu"/>
          <w:rFonts w:cs="Times New Roman"/>
          <w:sz w:val="23"/>
          <w:szCs w:val="23"/>
        </w:rPr>
        <w:footnoteReference w:id="16"/>
      </w:r>
      <w:r w:rsidRPr="004335C6">
        <w:rPr>
          <w:rFonts w:cs="Times New Roman"/>
          <w:sz w:val="23"/>
          <w:szCs w:val="23"/>
        </w:rPr>
        <w:t xml:space="preserve"> AİHM tarafından ifade özgürlüğü sınırları içinde değerlendirilmiştir.</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AİHM içtihadındaki bir çok örnekte görüldüğü üzere, Devletin çok daha ağır ifade ve sıfatlarla suçlanması hali bile şiddete tahrik olarak görülmemiştir. Dahası, BAK metni şiddete şiddetle cevap vermeyi değil tam tersine, hukukla cevap vermeyi teklif etmektedir. Metne göre, uluslararası hukuka aykırı olarak işlenen suçların bağımsız bir şekilde araştırılıp sonlandırılması gerekmektedir. Bu davetin, şiddete tahrik konusunda delil gösterilmesine imkan olmadığı açıktır.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Konuşmanın tonunun da yine tek başına belirleyici olamayacağı hatta Devlete yönelik hakaretlerin suç olarak tanımlanamayacağı açıktır. Aynı şekilde özellikle “barış, çözüm” gibi kavramların özgürlük lehine dikkate alınması gerektiği açıktır. Metin “</w:t>
      </w:r>
      <w:r w:rsidRPr="004335C6">
        <w:rPr>
          <w:rFonts w:cs="Times New Roman"/>
          <w:i/>
          <w:sz w:val="23"/>
          <w:szCs w:val="23"/>
        </w:rPr>
        <w:t>Müzakere koşullarının hazırlanmasını ve kalıcı bir barış için çözüm yollarının kurulmasını, hükümetin Kürt siyasi iradesinin taleplerini içeren bir yol haritasını oluşturmasını talep</w:t>
      </w:r>
      <w:r w:rsidRPr="004335C6">
        <w:rPr>
          <w:rFonts w:cs="Times New Roman"/>
          <w:sz w:val="23"/>
          <w:szCs w:val="23"/>
        </w:rPr>
        <w:t>” ederken hükümeti rahatsız etmiş olsa bile kullandığı dil itibarıyla daha güçlü bir ifade özgürlüğü korumasından yararlanma</w:t>
      </w:r>
      <w:r w:rsidR="005A5217" w:rsidRPr="004335C6">
        <w:rPr>
          <w:rFonts w:cs="Times New Roman"/>
          <w:sz w:val="23"/>
          <w:szCs w:val="23"/>
        </w:rPr>
        <w:t>lı</w:t>
      </w:r>
      <w:r w:rsidRPr="004335C6">
        <w:rPr>
          <w:rFonts w:cs="Times New Roman"/>
          <w:sz w:val="23"/>
          <w:szCs w:val="23"/>
        </w:rPr>
        <w:t xml:space="preserve">dır.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Sözleşmenin bir bütün olarak okunmasının doğal sonucu olarak, yaşam hakkı ve işkence yasağı gibi temel ilke ve kuralların korunmasını sağlayacak nitelikteki ifadelerin ağır olmasına daha fazla hoşgörü gösterilmesi gerekecektir. Devlet ajanlarının bu hakları ihlal eden eylemlerinin ortaya çıkarılması, baskı ortamında hakikatin ortaya çıkarılmasının ne kadar zor olduğu düşünüldüğünde daha da özel bir önem kazanmaktadır. Bu ihlallerin ortaya çıkarılması ve yayılmasının cezai </w:t>
      </w:r>
      <w:r w:rsidRPr="004335C6">
        <w:rPr>
          <w:rFonts w:cs="Times New Roman"/>
          <w:sz w:val="23"/>
          <w:szCs w:val="23"/>
        </w:rPr>
        <w:lastRenderedPageBreak/>
        <w:t xml:space="preserve">yaptırıma tabii tutulması, etkili soruşturma imkanını ortadan kaldıracağı için Sözleşme’nin ruhuna aykırı olacaktır. Siyasi ifade veya açıklamaların </w:t>
      </w:r>
      <w:r w:rsidRPr="004335C6">
        <w:rPr>
          <w:rFonts w:cs="Times New Roman"/>
          <w:b/>
          <w:sz w:val="23"/>
          <w:szCs w:val="23"/>
        </w:rPr>
        <w:t>Sözleşme’nin 2. maddesi ile korunan yaşam hakkıyla ilgili olması durumunda resmi otoriteler tarafından işlenen eylemlere dair eleştiriye ulusal mahkemeler hoşgörü göstermelidirler</w:t>
      </w:r>
      <w:r w:rsidRPr="004335C6">
        <w:rPr>
          <w:rFonts w:cs="Times New Roman"/>
          <w:iCs/>
          <w:sz w:val="23"/>
          <w:szCs w:val="23"/>
        </w:rPr>
        <w:t>.</w:t>
      </w:r>
      <w:r w:rsidRPr="004335C6">
        <w:rPr>
          <w:rStyle w:val="DipnotBavurusu"/>
          <w:rFonts w:cs="Times New Roman"/>
          <w:iCs/>
          <w:sz w:val="23"/>
          <w:szCs w:val="23"/>
        </w:rPr>
        <w:footnoteReference w:id="17"/>
      </w:r>
    </w:p>
    <w:p w:rsidR="0044721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Tahrik unsurunun değerlendirilmesinde dikkate alınması gereken bir diğer unsur, ifadenin hakikatle ilişkisidir. Olaylar kısmında açıklandığı üzere Türkiye’deki çatışmalarda çeşitli suçların işlendiğinde veya hukuka aykırılıkların bulunduğuna dair Birleşmiş Milletler İnsan Hakları Komiseri, Avrupa Konseyi İnsan Hakları Komiseri, Venedik Komisyonu, Uluslararası Af Örgütü ve İnsan Hakları İzleme Örgütü gibi saygın uluslararası STK</w:t>
      </w:r>
      <w:r w:rsidR="007E7EEE" w:rsidRPr="004335C6">
        <w:rPr>
          <w:rFonts w:cs="Times New Roman"/>
          <w:sz w:val="23"/>
          <w:szCs w:val="23"/>
        </w:rPr>
        <w:t>’</w:t>
      </w:r>
      <w:r w:rsidRPr="004335C6">
        <w:rPr>
          <w:rFonts w:cs="Times New Roman"/>
          <w:sz w:val="23"/>
          <w:szCs w:val="23"/>
        </w:rPr>
        <w:t xml:space="preserve">ların güvenilir açıklamaları mevcuttur. Dahası, AİHM tedbir talepli yapılan bazı başvurularda tedbir kararı verirken diğer başvurularda da konunun önemine binaen öncelik kararı vermiştir. Bu koşullar altında; bir grup akademisyenin “suç” ve “katliam” kelimelerini kullanmalarının ceza yaptırımına tabii tutulması sadece ifade özgürlüğünü ihlal etmez, aynı zamanda Devletin yaşam hakkını korumaya yönelik pozitif ödevlerini de yerine getirmediği şeklinde yorumlanabilir. </w:t>
      </w:r>
    </w:p>
    <w:p w:rsidR="0044721B" w:rsidRPr="004335C6" w:rsidRDefault="0044721B" w:rsidP="00836466">
      <w:pPr>
        <w:pStyle w:val="Balk3"/>
        <w:ind w:left="113" w:right="113" w:firstLine="0"/>
        <w:rPr>
          <w:rFonts w:cs="Times New Roman"/>
          <w:sz w:val="23"/>
          <w:szCs w:val="23"/>
        </w:rPr>
      </w:pPr>
      <w:r w:rsidRPr="004335C6">
        <w:rPr>
          <w:rFonts w:cs="Times New Roman"/>
          <w:sz w:val="23"/>
          <w:szCs w:val="23"/>
        </w:rPr>
        <w:t>Sözün Şiddete Yol Açma İhtimali</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AİHM’in Gözel ve Özer yarı-pilot kararında özetlediği temel formül, tahrik yanında şiddete yol açma ihtimalinin de gözetilmesi gerektiğini açıkça ortaya koymaktadır: “Şiddete tahrik içermediği sürece, yani şiddet eylemlerine ya da kanlı bir intikama başvurmayı savunmuyor, destekçilerinin hedeflerini gerçekleştirmesi amacıyla terör eylemlerini haklı göstermiyor ve </w:t>
      </w:r>
      <w:r w:rsidRPr="004335C6">
        <w:rPr>
          <w:rFonts w:cs="Times New Roman"/>
          <w:b/>
          <w:i/>
          <w:sz w:val="23"/>
          <w:szCs w:val="23"/>
        </w:rPr>
        <w:t>belli kişilere karşı derin ve mantıksız bir nefret duygusunun oluşmasına neden olarak şiddeti yüreklendirdiği şeklinde yorumlanamıyorsa</w:t>
      </w:r>
      <w:r w:rsidRPr="004335C6">
        <w:rPr>
          <w:rFonts w:cs="Times New Roman"/>
          <w:sz w:val="23"/>
          <w:szCs w:val="23"/>
        </w:rPr>
        <w:t>, herhangi bir ifadenin salt terör örgütünün açıklaması olduğu için veya terör örgütü ile ilgili olduğu için yasaklanamayacağı yönündedir.”</w:t>
      </w:r>
      <w:r w:rsidRPr="004335C6">
        <w:rPr>
          <w:rStyle w:val="DipnotBavurusu"/>
          <w:rFonts w:cs="Times New Roman"/>
          <w:sz w:val="23"/>
          <w:szCs w:val="23"/>
        </w:rPr>
        <w:footnoteReference w:id="18"/>
      </w:r>
      <w:r w:rsidRPr="004335C6">
        <w:rPr>
          <w:rFonts w:cs="Times New Roman"/>
          <w:sz w:val="23"/>
          <w:szCs w:val="23"/>
        </w:rPr>
        <w:t xml:space="preserve">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AİHM’in çeşitli kararlarında sözle şiddet arasındaki ilişkinin bağlam bakımından değerlendirildiği görülmektedir. Gül/Türkiye kararında AİHM, “İktidar namlunun ucundadır”, “Bizde hesapları namlular sorar” gibi sloganların şiddet içerikli olduğunu gözlemlemektedir. Bununla birlikte, bu sloganların bilinen ve kalıplaşmış solcu sloganlar olduğu ve izinli gösterilerde slogan atıldığı -</w:t>
      </w:r>
      <w:r w:rsidRPr="004335C6">
        <w:rPr>
          <w:rFonts w:cs="Times New Roman"/>
          <w:i/>
          <w:sz w:val="23"/>
          <w:szCs w:val="23"/>
        </w:rPr>
        <w:t>böylelikle sloganların “ulusal güvenlik” ve “kamu düzeni” üzerindeki potansiyel etkisi kısıtlanmıştır</w:t>
      </w:r>
      <w:r w:rsidRPr="004335C6">
        <w:rPr>
          <w:rFonts w:cs="Times New Roman"/>
          <w:sz w:val="23"/>
          <w:szCs w:val="23"/>
        </w:rPr>
        <w:t>- göz önünde bulundurulduğunda, sloganların şiddete veya ayaklanmaya çağrıda bulunduğu düşünülemez” sonucuna ulaşmıştır.”</w:t>
      </w:r>
      <w:r w:rsidRPr="004335C6">
        <w:rPr>
          <w:rStyle w:val="DipnotBavurusu"/>
          <w:rFonts w:cs="Times New Roman"/>
          <w:sz w:val="23"/>
          <w:szCs w:val="23"/>
        </w:rPr>
        <w:footnoteReference w:id="19"/>
      </w:r>
      <w:r w:rsidRPr="004335C6">
        <w:rPr>
          <w:rFonts w:cs="Times New Roman"/>
          <w:sz w:val="23"/>
          <w:szCs w:val="23"/>
        </w:rPr>
        <w:t xml:space="preserve"> Yağmurdereli vakasında</w:t>
      </w:r>
      <w:r w:rsidRPr="004335C6">
        <w:rPr>
          <w:rStyle w:val="DipnotBavurusu"/>
          <w:rFonts w:cs="Times New Roman"/>
          <w:sz w:val="23"/>
          <w:szCs w:val="23"/>
        </w:rPr>
        <w:footnoteReference w:id="20"/>
      </w:r>
      <w:r w:rsidRPr="004335C6">
        <w:rPr>
          <w:rFonts w:cs="Times New Roman"/>
          <w:sz w:val="23"/>
          <w:szCs w:val="23"/>
        </w:rPr>
        <w:t xml:space="preserve"> da, başvurucunun çatışma alanından kilometrelerce uzakta İstanbul’daki bir konuşmada sert sözleri söylemiş olması ifade özgürlüğünün ihlal edildiğinin saptanmasında önemli bir rol oynamıştır.</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AİHM testinde en önemli unsuru sözün şiddete yol açma potansiyeli oluşturmaktadır. Bu unsur ışığında değerlendirildiğinde BAK Metninin “şiddet eylemlerine ya da kanlı bir intikama başvurmayı savunduğunu, terör eylemlerini haklı gösterdiğini ve belli kişilere karşı derin ve mantıksız bir nefret duygusunun oluşmasına neden olarak şiddeti yüreklendirdiği şeklinde” yorumlanmasına imkan yoktur. Metin, Devletin faaliyetini suç olarak nitelemekte ama bunun engellenmesi için hiçbir şekilde şiddete başvurulmasını savunmamaktadır. Nitekim, imzacılara </w:t>
      </w:r>
      <w:r w:rsidRPr="004335C6">
        <w:rPr>
          <w:rFonts w:cs="Times New Roman"/>
          <w:sz w:val="23"/>
          <w:szCs w:val="23"/>
        </w:rPr>
        <w:lastRenderedPageBreak/>
        <w:t xml:space="preserve">yönelik suçlamaların hiçbirinde “neden insanları şiddete çağırdınız” sorusu sorulmamıştır. Sorular “katliam derken kimi kast ettiniz?” “sizce PKK bir terör örgütü müdür?” gibi metnin iradesiyle hiç ilgisi olmayan hususlara hasredilmiştir. </w:t>
      </w:r>
    </w:p>
    <w:p w:rsidR="00887B3B" w:rsidRPr="000F2A1A" w:rsidRDefault="0044721B" w:rsidP="000F2A1A">
      <w:pPr>
        <w:pStyle w:val="ListeParagraf"/>
        <w:numPr>
          <w:ilvl w:val="0"/>
          <w:numId w:val="12"/>
        </w:numPr>
        <w:spacing w:before="0" w:after="0"/>
        <w:ind w:right="113"/>
        <w:rPr>
          <w:rFonts w:cs="Times New Roman"/>
          <w:sz w:val="23"/>
          <w:szCs w:val="23"/>
        </w:rPr>
      </w:pPr>
      <w:r w:rsidRPr="004335C6">
        <w:rPr>
          <w:rFonts w:cs="Times New Roman"/>
          <w:sz w:val="23"/>
          <w:szCs w:val="23"/>
        </w:rPr>
        <w:t>Bu nedenle</w:t>
      </w:r>
      <w:r w:rsidR="000A60CE" w:rsidRPr="004335C6">
        <w:rPr>
          <w:rFonts w:cs="Times New Roman"/>
          <w:sz w:val="23"/>
          <w:szCs w:val="23"/>
        </w:rPr>
        <w:t>rle</w:t>
      </w:r>
      <w:r w:rsidRPr="004335C6">
        <w:rPr>
          <w:rFonts w:cs="Times New Roman"/>
          <w:sz w:val="23"/>
          <w:szCs w:val="23"/>
        </w:rPr>
        <w:t xml:space="preserve"> Sözleşme’nin 10. maddesinin ihlal edildiğine karar verilmesi gerekir. </w:t>
      </w:r>
    </w:p>
    <w:p w:rsidR="00887B3B" w:rsidRDefault="00887B3B" w:rsidP="00836466">
      <w:pPr>
        <w:pStyle w:val="Balk2"/>
        <w:ind w:left="113" w:right="113" w:firstLine="0"/>
        <w:rPr>
          <w:rFonts w:cs="Times New Roman"/>
          <w:sz w:val="23"/>
          <w:szCs w:val="23"/>
        </w:rPr>
      </w:pPr>
    </w:p>
    <w:p w:rsidR="0044721B" w:rsidRPr="004335C6" w:rsidRDefault="0044721B" w:rsidP="00836466">
      <w:pPr>
        <w:pStyle w:val="Balk2"/>
        <w:ind w:left="113" w:right="113" w:firstLine="0"/>
        <w:rPr>
          <w:rFonts w:cs="Times New Roman"/>
          <w:sz w:val="23"/>
          <w:szCs w:val="23"/>
        </w:rPr>
      </w:pPr>
      <w:r w:rsidRPr="004335C6">
        <w:rPr>
          <w:rFonts w:cs="Times New Roman"/>
          <w:sz w:val="23"/>
          <w:szCs w:val="23"/>
        </w:rPr>
        <w:t xml:space="preserve">Sözleşme’nin 6. Maddesinin İhlali </w:t>
      </w:r>
    </w:p>
    <w:p w:rsidR="00CD619B" w:rsidRPr="004335C6" w:rsidRDefault="00E11937" w:rsidP="00CD619B">
      <w:pPr>
        <w:pStyle w:val="ListeParagraf"/>
        <w:numPr>
          <w:ilvl w:val="0"/>
          <w:numId w:val="12"/>
        </w:numPr>
        <w:spacing w:before="0" w:after="0"/>
        <w:ind w:right="113"/>
        <w:rPr>
          <w:rFonts w:cs="Times New Roman"/>
          <w:sz w:val="23"/>
          <w:szCs w:val="23"/>
        </w:rPr>
      </w:pPr>
      <w:r w:rsidRPr="004335C6">
        <w:rPr>
          <w:rFonts w:cs="Times New Roman"/>
          <w:sz w:val="23"/>
          <w:szCs w:val="23"/>
        </w:rPr>
        <w:t>Başvurucu</w:t>
      </w:r>
      <w:r w:rsidR="00D51FCF" w:rsidRPr="004335C6">
        <w:rPr>
          <w:rFonts w:cs="Times New Roman"/>
          <w:sz w:val="23"/>
          <w:szCs w:val="23"/>
        </w:rPr>
        <w:t xml:space="preserve"> söz konusu</w:t>
      </w:r>
      <w:r w:rsidRPr="004335C6">
        <w:rPr>
          <w:rFonts w:cs="Times New Roman"/>
          <w:sz w:val="23"/>
          <w:szCs w:val="23"/>
        </w:rPr>
        <w:t xml:space="preserve">, </w:t>
      </w:r>
      <w:r w:rsidRPr="00AA0229">
        <w:rPr>
          <w:rFonts w:cs="Times New Roman"/>
          <w:sz w:val="23"/>
          <w:szCs w:val="23"/>
          <w:highlight w:val="yellow"/>
        </w:rPr>
        <w:t>686 Sayılı KHK’nin</w:t>
      </w:r>
      <w:r w:rsidRPr="004335C6">
        <w:rPr>
          <w:rFonts w:cs="Times New Roman"/>
          <w:sz w:val="23"/>
          <w:szCs w:val="23"/>
        </w:rPr>
        <w:t xml:space="preserve"> 1. maddesi uyarınca kamu görevinden çıkarılmıştır</w:t>
      </w:r>
      <w:r w:rsidR="0044721B" w:rsidRPr="004335C6">
        <w:rPr>
          <w:rFonts w:cs="Times New Roman"/>
          <w:sz w:val="23"/>
          <w:szCs w:val="23"/>
        </w:rPr>
        <w:t>.</w:t>
      </w:r>
      <w:r w:rsidR="0044721B" w:rsidRPr="004335C6">
        <w:rPr>
          <w:rFonts w:cs="Times New Roman"/>
          <w:b/>
          <w:sz w:val="23"/>
          <w:szCs w:val="23"/>
        </w:rPr>
        <w:t xml:space="preserve"> Bu kararın alınmasına hangi eyleminin sebep olduğu belirsizdir. KHK’nin 2. maddesi </w:t>
      </w:r>
      <w:r w:rsidR="0044721B" w:rsidRPr="004335C6">
        <w:rPr>
          <w:rFonts w:cs="Times New Roman"/>
          <w:sz w:val="23"/>
          <w:szCs w:val="23"/>
        </w:rPr>
        <w:t>“</w:t>
      </w:r>
      <w:r w:rsidR="0044721B" w:rsidRPr="004335C6">
        <w:rPr>
          <w:rFonts w:cs="Times New Roman"/>
          <w:i/>
          <w:sz w:val="23"/>
          <w:szCs w:val="23"/>
        </w:rPr>
        <w:t>Terör örgütlerine veya Milli Güvenlik Kurulunca Devletin milli güvenliğine karşı faaliyette bulunduğuna karar verilen yapı, oluşum veya gruplara üyeliği, mensubiyeti veya iltisakı yahut bunlarla irtibatı olan</w:t>
      </w:r>
      <w:r w:rsidR="0044721B" w:rsidRPr="004335C6">
        <w:rPr>
          <w:rFonts w:cs="Times New Roman"/>
          <w:sz w:val="23"/>
          <w:szCs w:val="23"/>
        </w:rPr>
        <w:t xml:space="preserve">”ların kamu hizmetinden çıkarıldığını belirtmekle birlikte “üyelik, mensubiyet, iltisak ve irtibat” kavramlarının ne anlama geldiği belirsiz olduğu gibi </w:t>
      </w:r>
      <w:r w:rsidR="0044721B" w:rsidRPr="004335C6">
        <w:rPr>
          <w:rFonts w:cs="Times New Roman"/>
          <w:b/>
          <w:sz w:val="23"/>
          <w:szCs w:val="23"/>
        </w:rPr>
        <w:t>başvurucunun hangi eylemi nedeniyle bu kategoriye girdiği de belirsizdir</w:t>
      </w:r>
      <w:r w:rsidR="0044721B" w:rsidRPr="004335C6">
        <w:rPr>
          <w:rFonts w:cs="Times New Roman"/>
          <w:sz w:val="23"/>
          <w:szCs w:val="23"/>
        </w:rPr>
        <w:t>.</w:t>
      </w:r>
    </w:p>
    <w:p w:rsidR="0044721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Bu uygulamanın 6. madde anlamında bir ceza isnadı (criminal limb) olduğu ortadadır. Önce bunun gerekçeleri açıklanacaktır. Daha sonra ise bu iddianın kabul edilmemesi halinde başvurunun neden 6. maddenin hukuk bölümü (civil limb) açısından ihlal oluşturduğuna değinilecektir. </w:t>
      </w:r>
    </w:p>
    <w:p w:rsidR="0044721B" w:rsidRPr="004335C6" w:rsidRDefault="0044721B" w:rsidP="00836466">
      <w:pPr>
        <w:pStyle w:val="Balk3"/>
        <w:ind w:left="113" w:right="113" w:firstLine="0"/>
        <w:rPr>
          <w:rFonts w:cs="Times New Roman"/>
          <w:sz w:val="23"/>
          <w:szCs w:val="23"/>
        </w:rPr>
      </w:pPr>
      <w:r w:rsidRPr="004335C6">
        <w:rPr>
          <w:rFonts w:cs="Times New Roman"/>
          <w:sz w:val="23"/>
          <w:szCs w:val="23"/>
        </w:rPr>
        <w:t>Ceza İsnadı</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Sözleşme’nin 6. maddesinde düzenlenen “cezai alanda kendisine yöneltilen suçlamalar” kavramı Sözleşme’nin özerk kavramlarından biridir. </w:t>
      </w:r>
    </w:p>
    <w:p w:rsidR="0044721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İhlalin kaynağı olan KHK’nin 2. maddesinin 2. fıkrası kamu görevinden çıkarılan kişiler hakkındaki yaptırımların “</w:t>
      </w:r>
      <w:r w:rsidRPr="004335C6">
        <w:rPr>
          <w:rFonts w:cs="Times New Roman"/>
          <w:b/>
          <w:sz w:val="23"/>
          <w:szCs w:val="23"/>
        </w:rPr>
        <w:t>mahkûmiyet kararı aranmaksızın</w:t>
      </w:r>
      <w:r w:rsidRPr="004335C6">
        <w:rPr>
          <w:rFonts w:cs="Times New Roman"/>
          <w:sz w:val="23"/>
          <w:szCs w:val="23"/>
        </w:rPr>
        <w:t xml:space="preserve">” uygulanacağını belirtmektedir. Bununla birlikte, </w:t>
      </w:r>
      <w:r w:rsidRPr="004335C6">
        <w:rPr>
          <w:rFonts w:cs="Times New Roman"/>
          <w:b/>
          <w:sz w:val="23"/>
          <w:szCs w:val="23"/>
        </w:rPr>
        <w:t>mahkumiyet kararının olmaması, AİHS anlamında bir cezai isnadın olmadığı anlamına gelmeyecektir</w:t>
      </w:r>
      <w:r w:rsidRPr="004335C6">
        <w:rPr>
          <w:rFonts w:cs="Times New Roman"/>
          <w:sz w:val="23"/>
          <w:szCs w:val="23"/>
        </w:rPr>
        <w:t xml:space="preserve">.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AİHS anlamında bir yaptırımın “cezai” sayılması için 3 unsura bakılması gerekmektedir: (i) Muhakeme usulünün iç hukukta nasıl sınıflandırıldığı, (ii) suçun niteliği ve (iii) başvurucunun çarptırılması olası cezanın niteliği ve ağırlığı.</w:t>
      </w:r>
      <w:r w:rsidRPr="004335C6">
        <w:rPr>
          <w:rStyle w:val="DipnotBavurusu"/>
          <w:rFonts w:cs="Times New Roman"/>
          <w:sz w:val="23"/>
          <w:szCs w:val="23"/>
        </w:rPr>
        <w:footnoteReference w:id="21"/>
      </w:r>
      <w:r w:rsidRPr="004335C6">
        <w:rPr>
          <w:rFonts w:cs="Times New Roman"/>
          <w:sz w:val="23"/>
          <w:szCs w:val="23"/>
        </w:rPr>
        <w:t xml:space="preserve"> Bununla birlikte, AİHM iç hukuktaki sınıflandırma ile bağlı olmadığı gibi suçun ve cezanın niteliği ölçütleri kümülatif değil alternatif ölçütlerdir.</w:t>
      </w:r>
      <w:r w:rsidRPr="004335C6">
        <w:rPr>
          <w:rStyle w:val="DipnotBavurusu"/>
          <w:rFonts w:cs="Times New Roman"/>
          <w:sz w:val="23"/>
          <w:szCs w:val="23"/>
        </w:rPr>
        <w:footnoteReference w:id="22"/>
      </w:r>
      <w:r w:rsidRPr="004335C6">
        <w:rPr>
          <w:rFonts w:cs="Times New Roman"/>
          <w:sz w:val="23"/>
          <w:szCs w:val="23"/>
        </w:rPr>
        <w:t xml:space="preserve"> Bununla birlikte, herhangi bir unsurla kesin bir sonuca ulaşılamadığı durumlarda unsurların kümülatif olarak değerlendirilmesi yoluna da gidilebilir.</w:t>
      </w:r>
      <w:r w:rsidRPr="004335C6">
        <w:rPr>
          <w:rStyle w:val="DipnotBavurusu"/>
          <w:rFonts w:cs="Times New Roman"/>
          <w:sz w:val="23"/>
          <w:szCs w:val="23"/>
        </w:rPr>
        <w:footnoteReference w:id="23"/>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AİHM, işbu başvuruya benzer Doğu Avrupa ülkelerindeki arındırma (lustration) uygulamalarını incelediği bazı davalarda başvuruyu 6. maddenin “medeni hak ve ödev” kavramı çerçevesinde incelerken,</w:t>
      </w:r>
      <w:r w:rsidRPr="004335C6">
        <w:rPr>
          <w:rStyle w:val="DipnotBavurusu"/>
          <w:rFonts w:cs="Times New Roman"/>
          <w:sz w:val="23"/>
          <w:szCs w:val="23"/>
        </w:rPr>
        <w:footnoteReference w:id="24"/>
      </w:r>
      <w:r w:rsidRPr="004335C6">
        <w:rPr>
          <w:rFonts w:cs="Times New Roman"/>
          <w:sz w:val="23"/>
          <w:szCs w:val="23"/>
        </w:rPr>
        <w:t xml:space="preserve"> bazı başvuruları aynı maddenin “cezai isnad” kavramı kapsamında değerlendirmiştir.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Başvuru konusu olay ise AİHM’in cezai isnad kapsamında gördüğü Polonya arındırma vakalarına daha yakındır. Mahkemenin bu sonuca ulaşmasında uygulanan muhakeme usulünün, ceza muhakemesine çok yakın olması yanında, işlenen suçun niteliği ve verilen cezanın ağırlığı dikkate alınmıştır. Bu davalarda, başvurucular, hapis cezası yatmadığı gibi para cezasına da çarptırılmamıştır. Ne var ki, Komünist geçmişi ile ilgili yalan söylediği saptanan kişiler 10 yıla kadar kamu hizmetinde çalışma ve siyasete katılma hakkından mahrum bırakılmıştır. AİHM’e göre bu </w:t>
      </w:r>
      <w:r w:rsidRPr="004335C6">
        <w:rPr>
          <w:rFonts w:cs="Times New Roman"/>
          <w:sz w:val="23"/>
          <w:szCs w:val="23"/>
        </w:rPr>
        <w:lastRenderedPageBreak/>
        <w:t>unsur, diğer unsurlarla birlikte değerlendirildiğinde başvurucuya yönelik cezai bir isnat olduğu anlamına gelmektedir.</w:t>
      </w:r>
      <w:r w:rsidRPr="004335C6">
        <w:rPr>
          <w:rStyle w:val="DipnotBavurusu"/>
          <w:rFonts w:cs="Times New Roman"/>
          <w:sz w:val="23"/>
          <w:szCs w:val="23"/>
        </w:rPr>
        <w:footnoteReference w:id="25"/>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sz w:val="23"/>
          <w:szCs w:val="23"/>
        </w:rPr>
        <w:t xml:space="preserve">Türkiye’de ise OHAL kararnamelerine bakıldığında hem benzerlikler hem de farklılıklar görülmektedir. Polonya örneğinden farklı olarak </w:t>
      </w:r>
      <w:r w:rsidRPr="004335C6">
        <w:rPr>
          <w:b/>
          <w:sz w:val="23"/>
          <w:szCs w:val="23"/>
        </w:rPr>
        <w:t>Türkiye’de kararlar hiçbir muhakeme işlemi yapılmadan uygulanmıştır</w:t>
      </w:r>
      <w:r w:rsidRPr="004335C6">
        <w:rPr>
          <w:sz w:val="23"/>
          <w:szCs w:val="23"/>
        </w:rPr>
        <w:t xml:space="preserve">. Bu nedenle, bir ceza muhakemesinden bahsedilmesi mümkün değildir. Ancak bu hükümetin lehine değil tam tersine aleyhine uygulanması gereken bir husustur. Ceza muhakemesi işletilmesi gereken bir süreçte, hiçbir muhakeme yoluna başvurulmamış olması, hükümetin yükümlülüklerinden kurtulması sonucunu doğuramaz. </w:t>
      </w:r>
      <w:r w:rsidRPr="004335C6">
        <w:rPr>
          <w:b/>
          <w:sz w:val="23"/>
          <w:szCs w:val="23"/>
        </w:rPr>
        <w:t>Suçun ve cezanın niteliği açısındansa, yaptırımın cezai niteliği Polonya’daki uygulamadan çok daha ağır ve açıktır</w:t>
      </w:r>
      <w:r w:rsidRPr="004335C6">
        <w:rPr>
          <w:sz w:val="23"/>
          <w:szCs w:val="23"/>
        </w:rPr>
        <w:t xml:space="preserve">.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sz w:val="23"/>
          <w:szCs w:val="23"/>
        </w:rPr>
        <w:t>Yaptırıma neden olan eylem (ya da suç) “</w:t>
      </w:r>
      <w:r w:rsidRPr="004335C6">
        <w:rPr>
          <w:i/>
          <w:sz w:val="23"/>
          <w:szCs w:val="23"/>
        </w:rPr>
        <w:t>Terör örgütlerine veya Milli Güvenlik Kurulunca Devletin milli güvenliğine karşı faaliyette bulunduğuna karar verilen yapı, oluşum veya gruplara üyeliği, mensubiyeti veya iltisakı yahut bunlarla irtibatı ol</w:t>
      </w:r>
      <w:r w:rsidRPr="004335C6">
        <w:rPr>
          <w:sz w:val="23"/>
          <w:szCs w:val="23"/>
        </w:rPr>
        <w:t xml:space="preserve">”maktır. Terör örgütü üyeliği Ceza Kanunu’nda ağır bir suç olarak düzenlenmiştir. Bu suç bir disiplin suçu niteliğinde olmayıp, sadece belirli görevleri yerine getirenler tarafından işlenen değil toplumun her kesimi tarafından işlenebilen bir suçtur. </w:t>
      </w:r>
    </w:p>
    <w:p w:rsidR="00CD619B" w:rsidRPr="004335C6" w:rsidRDefault="0044721B" w:rsidP="00CD619B">
      <w:pPr>
        <w:pStyle w:val="ListeParagraf"/>
        <w:numPr>
          <w:ilvl w:val="0"/>
          <w:numId w:val="12"/>
        </w:numPr>
        <w:spacing w:before="0" w:after="0"/>
        <w:ind w:right="113"/>
        <w:rPr>
          <w:rFonts w:cs="Times New Roman"/>
          <w:sz w:val="23"/>
          <w:szCs w:val="23"/>
        </w:rPr>
      </w:pPr>
      <w:r w:rsidRPr="004335C6">
        <w:rPr>
          <w:b/>
          <w:sz w:val="23"/>
          <w:szCs w:val="23"/>
        </w:rPr>
        <w:t>Üyelik, mensubiyet, iltisak veya irtibat eylemlerinden birini gerçekleştiren kişiye uygulanacak yaptırım da Polonya’dakinden çok daha ağırdır</w:t>
      </w:r>
      <w:r w:rsidRPr="004335C6">
        <w:rPr>
          <w:sz w:val="23"/>
          <w:szCs w:val="23"/>
        </w:rPr>
        <w:t>. Bu eylemi gerçekleştiren kişiler süresiz olarak kamu görevinden çıkarılmakta ve açıkça terörist olarak damgalanmaktadır. Dahası, KHK bu kişiler hakkında “</w:t>
      </w:r>
      <w:r w:rsidRPr="004335C6">
        <w:rPr>
          <w:i/>
          <w:sz w:val="23"/>
          <w:szCs w:val="23"/>
        </w:rPr>
        <w:t>bir daha kamu hizmetinde istihdam edilemezler, doğrudan veya dolaylı olarak görevlendirilemezler</w:t>
      </w:r>
      <w:r w:rsidRPr="004335C6">
        <w:rPr>
          <w:sz w:val="23"/>
          <w:szCs w:val="23"/>
        </w:rPr>
        <w:t xml:space="preserve">” demiş, bunun yanında kamu hizmetinden çıkarılma yaptırımına birçok başka hukuki sonuç bağlanmıştır. </w:t>
      </w:r>
    </w:p>
    <w:p w:rsidR="0044721B" w:rsidRPr="004335C6" w:rsidRDefault="0044721B" w:rsidP="00CD619B">
      <w:pPr>
        <w:pStyle w:val="ListeParagraf"/>
        <w:numPr>
          <w:ilvl w:val="0"/>
          <w:numId w:val="12"/>
        </w:numPr>
        <w:spacing w:before="0" w:after="0"/>
        <w:ind w:right="113"/>
        <w:rPr>
          <w:rFonts w:cs="Times New Roman"/>
          <w:sz w:val="23"/>
          <w:szCs w:val="23"/>
        </w:rPr>
      </w:pPr>
      <w:r w:rsidRPr="004335C6">
        <w:rPr>
          <w:rFonts w:cs="Times New Roman"/>
          <w:sz w:val="23"/>
          <w:szCs w:val="23"/>
        </w:rPr>
        <w:t>657 Sayılı Devlet Memurları Kanunu, bir disiplin cezası olarak memurluktan çıkarma cezası yanında, memurluğun sona ereceği durumları da düzenlemektedir. Yasanın 98. maddesine göre “</w:t>
      </w:r>
      <w:r w:rsidRPr="004335C6">
        <w:rPr>
          <w:rFonts w:cs="Times New Roman"/>
          <w:i/>
          <w:sz w:val="23"/>
          <w:szCs w:val="23"/>
          <w:lang w:eastAsia="tr-TR"/>
        </w:rPr>
        <w:t>Memurluğa alınma şartlarından her hangi birini taşımadığının sonradan anlaşılması veya memurlukları sırasında bu şartlardan her hangi birini kaybetmesi</w:t>
      </w:r>
      <w:r w:rsidRPr="004335C6">
        <w:rPr>
          <w:rFonts w:cs="Times New Roman"/>
          <w:sz w:val="23"/>
          <w:szCs w:val="23"/>
          <w:lang w:eastAsia="tr-TR"/>
        </w:rPr>
        <w:t>” halinde kişinin memuriyeti sona erer. Bu koşullar arasında 48. maddenin 5. fıkrası uyarınca bir yıldan fazla hapis cezası almamak da vardır. Bi</w:t>
      </w:r>
      <w:r w:rsidR="007B107F" w:rsidRPr="004335C6">
        <w:rPr>
          <w:rFonts w:cs="Times New Roman"/>
          <w:sz w:val="23"/>
          <w:szCs w:val="23"/>
          <w:lang w:eastAsia="tr-TR"/>
        </w:rPr>
        <w:t xml:space="preserve">r başka deyişle, </w:t>
      </w:r>
      <w:r w:rsidR="00C22495">
        <w:rPr>
          <w:rFonts w:cs="Times New Roman"/>
          <w:sz w:val="23"/>
          <w:szCs w:val="23"/>
          <w:lang w:eastAsia="tr-TR"/>
        </w:rPr>
        <w:t>Başvurucuyu kamu görevinden çıkartan KHK</w:t>
      </w:r>
      <w:r w:rsidRPr="004335C6">
        <w:rPr>
          <w:rFonts w:cs="Times New Roman"/>
          <w:sz w:val="23"/>
          <w:szCs w:val="23"/>
          <w:lang w:eastAsia="tr-TR"/>
        </w:rPr>
        <w:t xml:space="preserve"> disiplin soruşturmasının olmadığı bir durumda ancak bir ceza mahkemesi tarafından verilebilecek mahkumiyet halinde uygulanabilecek olan memurluktan çıkarma cezasını uygulamaktadır. </w:t>
      </w:r>
      <w:r w:rsidRPr="004335C6">
        <w:rPr>
          <w:rFonts w:cs="Times New Roman"/>
          <w:b/>
          <w:sz w:val="23"/>
          <w:szCs w:val="23"/>
          <w:lang w:eastAsia="tr-TR"/>
        </w:rPr>
        <w:t>Bu da yaptırımın AİHS anlamında bir cezai nitelik taşıdığını göstermektedir</w:t>
      </w:r>
      <w:r w:rsidRPr="004335C6">
        <w:rPr>
          <w:rFonts w:cs="Times New Roman"/>
          <w:sz w:val="23"/>
          <w:szCs w:val="23"/>
          <w:lang w:eastAsia="tr-TR"/>
        </w:rPr>
        <w:t xml:space="preserve">. </w:t>
      </w:r>
    </w:p>
    <w:p w:rsidR="0044721B" w:rsidRPr="004335C6" w:rsidRDefault="0044721B" w:rsidP="00836466">
      <w:pPr>
        <w:pStyle w:val="Balk3"/>
        <w:ind w:left="113" w:right="113" w:firstLine="0"/>
        <w:rPr>
          <w:rFonts w:cs="Times New Roman"/>
          <w:sz w:val="23"/>
          <w:szCs w:val="23"/>
        </w:rPr>
      </w:pPr>
      <w:r w:rsidRPr="004335C6">
        <w:rPr>
          <w:rFonts w:cs="Times New Roman"/>
          <w:sz w:val="23"/>
          <w:szCs w:val="23"/>
        </w:rPr>
        <w:t>Ceza İsnadı Bakımından Adil Yargılanma İlkesinin Uygulanması</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Ceza davalarında savunma haklarının güvence altına alınması demokratik bir toplumun temel ilkelerinden biridir ve 6. maddenin bu güvenceyi sadece teorik ve kağıt üstünde değil ve fakat pratik ve etkin şekilde kullanacak şekilde yorumlanması gerekir (</w:t>
      </w:r>
      <w:r w:rsidRPr="004335C6">
        <w:rPr>
          <w:rFonts w:cs="Times New Roman"/>
          <w:i/>
          <w:sz w:val="23"/>
          <w:szCs w:val="23"/>
        </w:rPr>
        <w:t>Artico/İtalya</w:t>
      </w:r>
      <w:r w:rsidRPr="004335C6">
        <w:rPr>
          <w:rFonts w:cs="Times New Roman"/>
          <w:sz w:val="23"/>
          <w:szCs w:val="23"/>
        </w:rPr>
        <w:t>, no. 6694/74, 13.5.1980, para. 33).</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Özellikle Sözleşme’nin 6. maddesinin 1. fıkrası, tarafların sunduğu argüman ve delillerin tam bir şekilde değerlendirme ödevini mahkemeye yükler (</w:t>
      </w:r>
      <w:r w:rsidRPr="004335C6">
        <w:rPr>
          <w:rFonts w:cs="Times New Roman"/>
          <w:i/>
          <w:iCs/>
          <w:sz w:val="23"/>
          <w:szCs w:val="23"/>
        </w:rPr>
        <w:t>Van de Hurk/Hollanda</w:t>
      </w:r>
      <w:r w:rsidRPr="004335C6">
        <w:rPr>
          <w:rFonts w:cs="Times New Roman"/>
          <w:sz w:val="23"/>
          <w:szCs w:val="23"/>
        </w:rPr>
        <w:t>,19.4.1994, Series A no. 288, para. 59). Mahkemeler, önündeki ciddi şikayetleri dikkate almaz veya çürütülmesi mümkün olmayan delilleri dikkate almazsa, keyfi nitelik taşıyan bu yargılama adil yargılanma ilkesini ihlal edecektir (</w:t>
      </w:r>
      <w:r w:rsidRPr="004335C6">
        <w:rPr>
          <w:rFonts w:cs="Times New Roman"/>
          <w:i/>
          <w:sz w:val="23"/>
          <w:szCs w:val="23"/>
        </w:rPr>
        <w:t>Khamidov/Rusya</w:t>
      </w:r>
      <w:r w:rsidRPr="004335C6">
        <w:rPr>
          <w:rFonts w:cs="Times New Roman"/>
          <w:sz w:val="23"/>
          <w:szCs w:val="23"/>
        </w:rPr>
        <w:t>, no. 72118/01, 15.11.2007, para. 170-175).</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 xml:space="preserve">AİHM’in çok kez vurguladığı üzere, </w:t>
      </w:r>
      <w:r w:rsidRPr="004335C6">
        <w:rPr>
          <w:rFonts w:cs="Times New Roman"/>
          <w:b/>
          <w:sz w:val="23"/>
          <w:szCs w:val="23"/>
        </w:rPr>
        <w:t>kamu yararı ne kadar güçlü olursa olsun, adil yargılanma hakkından feragat edilemez</w:t>
      </w:r>
      <w:r w:rsidRPr="004335C6">
        <w:rPr>
          <w:rFonts w:cs="Times New Roman"/>
          <w:sz w:val="23"/>
          <w:szCs w:val="23"/>
        </w:rPr>
        <w:t xml:space="preserve">. Bu nedenle 6. maddede düzenlenen adil yargılama güvenceleri, en basit suçta da örgütlü suçlar gibi en zor ve karmaşık </w:t>
      </w:r>
      <w:r w:rsidRPr="004335C6">
        <w:rPr>
          <w:rFonts w:cs="Times New Roman"/>
          <w:sz w:val="23"/>
          <w:szCs w:val="23"/>
        </w:rPr>
        <w:lastRenderedPageBreak/>
        <w:t>suçlarda da uygulanır (</w:t>
      </w:r>
      <w:r w:rsidRPr="004335C6">
        <w:rPr>
          <w:rFonts w:cs="Times New Roman"/>
          <w:i/>
          <w:sz w:val="23"/>
          <w:szCs w:val="23"/>
        </w:rPr>
        <w:t>Teixeira de Castro/Portekiz</w:t>
      </w:r>
      <w:r w:rsidRPr="004335C6">
        <w:rPr>
          <w:rFonts w:cs="Times New Roman"/>
          <w:sz w:val="23"/>
          <w:szCs w:val="23"/>
        </w:rPr>
        <w:t>, no. 25829/94, 9.6.1998, para. 36). AİHM, bu nedenle bazı davalarda, 6. maddenin spesifik bir ihlalini saptamadan usulün bütün halinde adillik ilkesine (principle of fairness) aykırı olduğunu tespit etmiştir (</w:t>
      </w:r>
      <w:r w:rsidRPr="004335C6">
        <w:rPr>
          <w:rFonts w:cs="Times New Roman"/>
          <w:i/>
          <w:sz w:val="23"/>
          <w:szCs w:val="23"/>
        </w:rPr>
        <w:t>Van Kück/Almanya</w:t>
      </w:r>
      <w:r w:rsidRPr="004335C6">
        <w:rPr>
          <w:rFonts w:cs="Times New Roman"/>
          <w:sz w:val="23"/>
          <w:szCs w:val="23"/>
        </w:rPr>
        <w:t>, no. 35968/97, 12.6.2003, para. 55 vd.)</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 xml:space="preserve">Başvuru konusu KHK, başvurucunun hiç yargılanmadan cezalandırılmasına yol açtığı için bütün olarak 6. maddeyi ihlal etmektedir. Bununla birlikte, somut olarak hangi güvencelerin ihlal edildiğini kısaca vurgulamakta da fayda vardır. </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6. maddenin özünü oluşturan adil yargılanma ilkesi öncelikle tarafsız ve bağımsız bir yargı merciinin yapacağı değerlendirmeyi gerektirir. Başvurucunun olayın ve hukukun incelenmesi için mahkemeye başvurma hakkı, milli güvenlik kaygıları olsa bile yürütmenin tek taraflı değerlendirmeleriyle (</w:t>
      </w:r>
      <w:r w:rsidRPr="004335C6">
        <w:rPr>
          <w:rFonts w:cs="Times New Roman"/>
          <w:i/>
          <w:sz w:val="23"/>
          <w:szCs w:val="23"/>
        </w:rPr>
        <w:t>ipse dixit</w:t>
      </w:r>
      <w:r w:rsidRPr="004335C6">
        <w:rPr>
          <w:rFonts w:cs="Times New Roman"/>
          <w:sz w:val="23"/>
          <w:szCs w:val="23"/>
        </w:rPr>
        <w:t>) sınırlandırılamaz. (</w:t>
      </w:r>
      <w:r w:rsidRPr="004335C6">
        <w:rPr>
          <w:rFonts w:cs="Times New Roman"/>
          <w:i/>
          <w:sz w:val="23"/>
          <w:szCs w:val="23"/>
        </w:rPr>
        <w:t>Tinnely ve Diğerleri/BK</w:t>
      </w:r>
      <w:r w:rsidRPr="004335C6">
        <w:rPr>
          <w:rFonts w:cs="Times New Roman"/>
          <w:sz w:val="23"/>
          <w:szCs w:val="23"/>
        </w:rPr>
        <w:t>, 20390/92, 10.7.1998, para. 77).</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 xml:space="preserve">Adil bir yargılanmanın ön koşulu ceza usul kurallarının yasayla düzenlenmiş olmasıdır. Bu ilke, yargılamanın nasıl yapılması gerektiğine dair belirli koşullar getirmek suretiyle adil bir yargılanmayı güvence altına alır ve </w:t>
      </w:r>
      <w:r w:rsidRPr="004335C6">
        <w:rPr>
          <w:rFonts w:cs="Times New Roman"/>
          <w:i/>
          <w:sz w:val="23"/>
          <w:szCs w:val="23"/>
        </w:rPr>
        <w:t>silahların eşitliği ilkesine</w:t>
      </w:r>
      <w:r w:rsidRPr="004335C6">
        <w:rPr>
          <w:rFonts w:cs="Times New Roman"/>
          <w:sz w:val="23"/>
          <w:szCs w:val="23"/>
        </w:rPr>
        <w:t xml:space="preserve"> saygıyı zorunlu kılar. Silahların eşitliği ilkesi, taraflara karşı taraf karşısında ciddi bir dezavantaja uğramaksızın davasını ileri sürme konusunda makul bir imkanın verilmesini gerektirir. AİHM, usul kurallarının birincil amacının sanığı otoritenin kötüye kullanılmasına karşı korumak olduğunu belirtmektedir (</w:t>
      </w:r>
      <w:r w:rsidRPr="004335C6">
        <w:rPr>
          <w:rFonts w:cs="Times New Roman"/>
          <w:i/>
          <w:sz w:val="23"/>
          <w:szCs w:val="23"/>
        </w:rPr>
        <w:t>Coeme/Belçika</w:t>
      </w:r>
      <w:r w:rsidRPr="004335C6">
        <w:rPr>
          <w:rFonts w:cs="Times New Roman"/>
          <w:sz w:val="23"/>
          <w:szCs w:val="23"/>
        </w:rPr>
        <w:t xml:space="preserve">, no. 32492/96, 22.6.2000, para. 102). Bunun yanında, yargılama hem hukuk hem de ceza davalarında </w:t>
      </w:r>
      <w:r w:rsidRPr="004335C6">
        <w:rPr>
          <w:rFonts w:cs="Times New Roman"/>
          <w:i/>
          <w:sz w:val="23"/>
          <w:szCs w:val="23"/>
        </w:rPr>
        <w:t>çekişmeli</w:t>
      </w:r>
      <w:r w:rsidRPr="004335C6">
        <w:rPr>
          <w:rFonts w:cs="Times New Roman"/>
          <w:sz w:val="23"/>
          <w:szCs w:val="23"/>
        </w:rPr>
        <w:t xml:space="preserve"> olarak yürütülmeli ve taraflara karşı tarafın sunduğu delil ve argümanlara cevap verme imkanı sunulmalıdır (</w:t>
      </w:r>
      <w:r w:rsidRPr="004335C6">
        <w:rPr>
          <w:rFonts w:cs="Times New Roman"/>
          <w:i/>
          <w:sz w:val="23"/>
          <w:szCs w:val="23"/>
        </w:rPr>
        <w:t>Ruiz Mateos/İspanya</w:t>
      </w:r>
      <w:r w:rsidRPr="004335C6">
        <w:rPr>
          <w:rFonts w:cs="Times New Roman"/>
          <w:sz w:val="23"/>
          <w:szCs w:val="23"/>
        </w:rPr>
        <w:t>, no. 12952/87, 23.6.1993, para. 63).</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b/>
          <w:sz w:val="23"/>
          <w:szCs w:val="23"/>
        </w:rPr>
        <w:t>AİHS 6. madde aynı zamanda dinlenilme hakkını da içerir</w:t>
      </w:r>
      <w:r w:rsidRPr="004335C6">
        <w:rPr>
          <w:rFonts w:cs="Times New Roman"/>
          <w:sz w:val="23"/>
          <w:szCs w:val="23"/>
        </w:rPr>
        <w:t>. İlgili kişi kendi görüşünü doğrudan ya da yasal temsilcisi aracılığıyla yapmalıdır. İddia makamı da suçlanan kişiyle ilgili elindeki tüm verileri açıklamalıdır ki, buna karşı savunma yapılabilsin (</w:t>
      </w:r>
      <w:r w:rsidRPr="004335C6">
        <w:rPr>
          <w:rFonts w:cs="Times New Roman"/>
          <w:i/>
          <w:sz w:val="23"/>
          <w:szCs w:val="23"/>
        </w:rPr>
        <w:t>Dowsett/BK</w:t>
      </w:r>
      <w:r w:rsidRPr="004335C6">
        <w:rPr>
          <w:rFonts w:cs="Times New Roman"/>
          <w:sz w:val="23"/>
          <w:szCs w:val="23"/>
        </w:rPr>
        <w:t>, no. 39482/98, para. 41 vd.). Nihayet, dinlenilme hakkının doğal bir uzantısı da gerekçeli karar hakkıdır. Gerekçeli karar, neden kişi aleyhine karar verildiğinin anlaşılmasını sağlamasının yanında ceza hukukunun temel ilkelerinden olan masumiyet karinesinin güvence altına alınmasını sağlayacaktır. (</w:t>
      </w:r>
      <w:r w:rsidRPr="004335C6">
        <w:rPr>
          <w:rFonts w:cs="Times New Roman"/>
          <w:i/>
          <w:sz w:val="23"/>
          <w:szCs w:val="23"/>
        </w:rPr>
        <w:t>Adjaric/Hırvatistan</w:t>
      </w:r>
      <w:r w:rsidRPr="004335C6">
        <w:rPr>
          <w:rFonts w:cs="Times New Roman"/>
          <w:sz w:val="23"/>
          <w:szCs w:val="23"/>
        </w:rPr>
        <w:t xml:space="preserve">, no. 20883/09, 13.12.2011, para. 51). </w:t>
      </w:r>
    </w:p>
    <w:p w:rsidR="00CD619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 xml:space="preserve">Başvurucunun kamu hizmetinden çıkarılmasına ilişkin kararda, yukarıda sayılan ve 6. maddenin ve </w:t>
      </w:r>
      <w:r w:rsidRPr="004335C6">
        <w:rPr>
          <w:rFonts w:cs="Times New Roman"/>
          <w:b/>
          <w:sz w:val="23"/>
          <w:szCs w:val="23"/>
        </w:rPr>
        <w:t>daha önemlisi demokratik bir hukuk devletinin temelini oluşturan adil yargılanma ilkelerinin hiçbirine riayet edilmemiştir</w:t>
      </w:r>
      <w:r w:rsidRPr="004335C6">
        <w:rPr>
          <w:rFonts w:cs="Times New Roman"/>
          <w:sz w:val="23"/>
          <w:szCs w:val="23"/>
        </w:rPr>
        <w:t xml:space="preserve">. </w:t>
      </w:r>
      <w:r w:rsidR="00887B3B">
        <w:rPr>
          <w:rFonts w:cs="Times New Roman"/>
          <w:sz w:val="23"/>
          <w:szCs w:val="23"/>
        </w:rPr>
        <w:t>Başvurucu ifade özgürlüğünü kullandığı için hakkında idari ve adli soruşturma açılmış; kendisine</w:t>
      </w:r>
      <w:r w:rsidRPr="004335C6">
        <w:rPr>
          <w:rFonts w:cs="Times New Roman"/>
          <w:sz w:val="23"/>
          <w:szCs w:val="23"/>
        </w:rPr>
        <w:t xml:space="preserve"> açık hiçbir suçlama yöneltilmemiş, savunma hakkı verilmemiş, iddia makamının argüman ve delillerini tartışma imkanı sunulmamıştır. </w:t>
      </w:r>
      <w:r w:rsidRPr="004335C6">
        <w:rPr>
          <w:rFonts w:cs="Times New Roman"/>
          <w:b/>
          <w:sz w:val="23"/>
          <w:szCs w:val="23"/>
        </w:rPr>
        <w:t>Başvurucu hakkında işlem yapıldıktan sonra bile neyle suçlandığını bilememektedir</w:t>
      </w:r>
      <w:r w:rsidRPr="004335C6">
        <w:rPr>
          <w:rFonts w:cs="Times New Roman"/>
          <w:sz w:val="23"/>
          <w:szCs w:val="23"/>
        </w:rPr>
        <w:t>. Bazı ihlallerin, daha sonra giderilmesi için hukuki yollar öngörülmesi halinde ihlalin ortadan kaldırılması mümkünse de (</w:t>
      </w:r>
      <w:r w:rsidRPr="004335C6">
        <w:rPr>
          <w:rFonts w:cs="Times New Roman"/>
          <w:i/>
          <w:sz w:val="23"/>
          <w:szCs w:val="23"/>
        </w:rPr>
        <w:t>Edwards/Birleşik Krallık</w:t>
      </w:r>
      <w:r w:rsidRPr="004335C6">
        <w:rPr>
          <w:rFonts w:cs="Times New Roman"/>
          <w:sz w:val="23"/>
          <w:szCs w:val="23"/>
        </w:rPr>
        <w:t xml:space="preserve">, 16.12.1992, Series A no. 247-B) başvuru konusu KHK bunu da imkansız kılmaktadır. </w:t>
      </w:r>
    </w:p>
    <w:p w:rsidR="0044721B" w:rsidRPr="004335C6" w:rsidRDefault="0044721B" w:rsidP="00CD619B">
      <w:pPr>
        <w:pStyle w:val="ListeParagraf"/>
        <w:widowControl w:val="0"/>
        <w:numPr>
          <w:ilvl w:val="0"/>
          <w:numId w:val="12"/>
        </w:numPr>
        <w:autoSpaceDE w:val="0"/>
        <w:autoSpaceDN w:val="0"/>
        <w:adjustRightInd w:val="0"/>
        <w:spacing w:before="0" w:after="0"/>
        <w:ind w:right="113"/>
        <w:rPr>
          <w:rFonts w:cs="Times New Roman"/>
          <w:sz w:val="23"/>
          <w:szCs w:val="23"/>
        </w:rPr>
      </w:pPr>
      <w:r w:rsidRPr="004335C6">
        <w:rPr>
          <w:rFonts w:cs="Times New Roman"/>
          <w:sz w:val="23"/>
          <w:szCs w:val="23"/>
        </w:rPr>
        <w:t xml:space="preserve">Bu durumun, bir bütün halinde 6. maddenin adil yargılanmayı düzenleyen bütününü ihlal ettiği şüphesizdir. </w:t>
      </w:r>
      <w:r w:rsidR="00E11937" w:rsidRPr="004335C6">
        <w:rPr>
          <w:rFonts w:cs="Times New Roman"/>
          <w:sz w:val="23"/>
          <w:szCs w:val="23"/>
        </w:rPr>
        <w:t xml:space="preserve">685 Sayılı KHK ile kurulması öngörülen Komisyon ve buna karşı başvurulması kabul edilen yargı yolu da bu ihlalleri giderecek nitelikte değildir. </w:t>
      </w:r>
      <w:r w:rsidR="005B7D2C" w:rsidRPr="004335C6">
        <w:rPr>
          <w:rFonts w:cs="Times New Roman"/>
          <w:sz w:val="23"/>
          <w:szCs w:val="23"/>
        </w:rPr>
        <w:t xml:space="preserve">Komisyona başvuru yapacak kişi hala ne ile suçlandığını bilmemekte, Komisyon önünde davasını tartışma imkanına sahip olmamakta hatta kendisine ilişkin dosyayı görme fırsatı bile </w:t>
      </w:r>
      <w:r w:rsidR="00A92481" w:rsidRPr="004335C6">
        <w:rPr>
          <w:rFonts w:cs="Times New Roman"/>
          <w:sz w:val="23"/>
          <w:szCs w:val="23"/>
        </w:rPr>
        <w:t>bulunmamaktadır</w:t>
      </w:r>
      <w:r w:rsidR="005B7D2C" w:rsidRPr="004335C6">
        <w:rPr>
          <w:rFonts w:cs="Times New Roman"/>
          <w:sz w:val="23"/>
          <w:szCs w:val="23"/>
        </w:rPr>
        <w:t xml:space="preserve">. </w:t>
      </w:r>
    </w:p>
    <w:p w:rsidR="0044721B" w:rsidRPr="004335C6" w:rsidRDefault="0044721B" w:rsidP="00836466">
      <w:pPr>
        <w:pStyle w:val="Balk3"/>
        <w:ind w:left="113" w:right="113" w:firstLine="0"/>
        <w:rPr>
          <w:rFonts w:cs="Times New Roman"/>
          <w:sz w:val="23"/>
          <w:szCs w:val="23"/>
        </w:rPr>
      </w:pPr>
      <w:r w:rsidRPr="004335C6">
        <w:rPr>
          <w:rFonts w:cs="Times New Roman"/>
          <w:sz w:val="23"/>
          <w:szCs w:val="23"/>
        </w:rPr>
        <w:t>6. Maddenin Hukuk Yönü Açısından</w:t>
      </w:r>
    </w:p>
    <w:p w:rsidR="00051A2C"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Başvuru konusu olayın 6. maddenin ceza bölümünde incelenmemesi halinde, başvurucunun medeni hakkıyla ilgili olduğu için aynı maddenin “medeni hak ile </w:t>
      </w:r>
      <w:r w:rsidRPr="004335C6">
        <w:rPr>
          <w:rFonts w:cs="Times New Roman"/>
          <w:sz w:val="23"/>
          <w:szCs w:val="23"/>
        </w:rPr>
        <w:lastRenderedPageBreak/>
        <w:t xml:space="preserve">ilgili uyuşmazlıklar” kapsamında görülüp değerlendirilmesi gerektiğine şüphe bulunmamaktadır. </w:t>
      </w:r>
    </w:p>
    <w:p w:rsidR="00051A2C"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sz w:val="23"/>
          <w:szCs w:val="23"/>
        </w:rPr>
        <w:t>AİHM içtihadının ilk döneminden itibaren profesyonel mesleğin devamını engelleyen kararlara yapılan itirazlar medeni hak ile ilgili uyuşmazlık kapsamında değerlendirilmektedir (</w:t>
      </w:r>
      <w:r w:rsidRPr="004335C6">
        <w:rPr>
          <w:rFonts w:cs="Times New Roman"/>
          <w:i/>
          <w:sz w:val="23"/>
          <w:szCs w:val="23"/>
        </w:rPr>
        <w:t>Le Compte, Van Leuven ve De Meyere/Belçika</w:t>
      </w:r>
      <w:r w:rsidRPr="004335C6">
        <w:rPr>
          <w:rFonts w:cs="Times New Roman"/>
          <w:sz w:val="23"/>
          <w:szCs w:val="23"/>
        </w:rPr>
        <w:t>, no. 6878/75, 23.6.1981, para. 44-51). Ayrıca, bu davalarda 6. maddenin ceza bölümünün uygulanması gerekip gerekmediği konusunun cevaplanmasına da gerek olmadığını, çünkü ceza muhakemesi için yukarıda sayılan ilkelerin medeni hakla ilgili uyuşmazlıklarda da uygulanacağını belirtmiştir (</w:t>
      </w:r>
      <w:r w:rsidRPr="004335C6">
        <w:rPr>
          <w:rFonts w:cs="Times New Roman"/>
          <w:i/>
          <w:sz w:val="23"/>
          <w:szCs w:val="23"/>
        </w:rPr>
        <w:t>Diennet/Fransa</w:t>
      </w:r>
      <w:r w:rsidRPr="004335C6">
        <w:rPr>
          <w:rFonts w:cs="Times New Roman"/>
          <w:sz w:val="23"/>
          <w:szCs w:val="23"/>
        </w:rPr>
        <w:t>, no. 18160/91, 26.9.1995, para. 28).</w:t>
      </w:r>
    </w:p>
    <w:p w:rsidR="00051A2C"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Bununla birlikte, başvurucu aynı zamanda kamu görevlisi olduğu için kamu hizmetinden çıkarılma cezasının 6. madde kapsamında olup olmadığı tartışma konusudur. AİHM’e göre, </w:t>
      </w:r>
      <w:r w:rsidRPr="004335C6">
        <w:rPr>
          <w:rFonts w:cs="Times New Roman"/>
          <w:i/>
          <w:sz w:val="23"/>
          <w:szCs w:val="23"/>
        </w:rPr>
        <w:t>Eskelinen kriterleri</w:t>
      </w:r>
      <w:r w:rsidRPr="004335C6">
        <w:rPr>
          <w:rFonts w:cs="Times New Roman"/>
          <w:sz w:val="23"/>
          <w:szCs w:val="23"/>
        </w:rPr>
        <w:t xml:space="preserve"> bağlamında bir kamu görevlisinin 6. madde kapsamındaki korumadan hariç tutulabilmesi için iki kriterin karşılanması gerekir. Buna göre iç hukukta yargı yolunun açıkça kapalı olması ve bunun haklı gerekçelere dayanması gerekir. Haklı gerekçelerin varlığı da kendi içinde iki koşulun gerçekleşmesine bağlıdır (</w:t>
      </w:r>
      <w:r w:rsidRPr="004335C6">
        <w:rPr>
          <w:rFonts w:cs="Times New Roman"/>
          <w:i/>
          <w:sz w:val="23"/>
          <w:szCs w:val="23"/>
        </w:rPr>
        <w:t>Vilho Eskelinen ve Diğerleri/Finlandiya</w:t>
      </w:r>
      <w:r w:rsidRPr="004335C6">
        <w:rPr>
          <w:rFonts w:cs="Times New Roman"/>
          <w:sz w:val="23"/>
          <w:szCs w:val="23"/>
        </w:rPr>
        <w:t xml:space="preserve"> (</w:t>
      </w:r>
      <w:r w:rsidRPr="004335C6">
        <w:rPr>
          <w:rFonts w:cs="Times New Roman"/>
          <w:sz w:val="23"/>
          <w:szCs w:val="23"/>
          <w:lang w:eastAsia="fr-FR"/>
        </w:rPr>
        <w:t>[BD], no. 63235/00, para. 62 ECHR 2007</w:t>
      </w:r>
      <w:r w:rsidRPr="004335C6">
        <w:rPr>
          <w:rFonts w:cs="Times New Roman"/>
          <w:sz w:val="23"/>
          <w:szCs w:val="23"/>
          <w:lang w:eastAsia="fr-FR"/>
        </w:rPr>
        <w:noBreakHyphen/>
        <w:t>II</w:t>
      </w:r>
      <w:r w:rsidRPr="004335C6">
        <w:rPr>
          <w:rFonts w:cs="Times New Roman"/>
          <w:sz w:val="23"/>
          <w:szCs w:val="23"/>
        </w:rPr>
        <w:t>). Birincisi, kamu görevlisinin kamu gücü ayrıcalığı kullanıyor olması, ya da Pellegrin davasında Mahkemenin ifade ettiği gibi Devletle arasında “özel bir güven ve sadakat” ilişkisinin bulunması gerekir (</w:t>
      </w:r>
      <w:r w:rsidRPr="004335C6">
        <w:rPr>
          <w:rFonts w:cs="Times New Roman"/>
          <w:i/>
          <w:sz w:val="23"/>
          <w:szCs w:val="23"/>
        </w:rPr>
        <w:t>Pellegrin/Fransa</w:t>
      </w:r>
      <w:r w:rsidRPr="004335C6">
        <w:rPr>
          <w:rFonts w:cs="Times New Roman"/>
          <w:sz w:val="23"/>
          <w:szCs w:val="23"/>
        </w:rPr>
        <w:t xml:space="preserve"> [BD], no. 28541/95, para. 66, ECHR 1999-VIII). Bunun yanında, ikinci olarak davalı devletin uyuşmazlığın bu bağa ilişkin olduğunu da göstermesi gerekir. Bu nedenle, 6. maddenin uygulanması yönünde bir karine vardır. Eskelineni takip eden içtihatta da, bu karine kamu hizmetinden çıkarma da dahil olmak üzere çok sayıda kamu görevlisi davasında aynen uygulanmıştır (</w:t>
      </w:r>
      <w:r w:rsidRPr="004335C6">
        <w:rPr>
          <w:rFonts w:cs="Times New Roman"/>
          <w:i/>
          <w:sz w:val="23"/>
          <w:szCs w:val="23"/>
        </w:rPr>
        <w:t>Baka/Macaristan</w:t>
      </w:r>
      <w:r w:rsidRPr="004335C6">
        <w:rPr>
          <w:rFonts w:cs="Times New Roman"/>
          <w:sz w:val="23"/>
          <w:szCs w:val="23"/>
        </w:rPr>
        <w:t xml:space="preserve"> [BD], no. 20261/12, 23.6.2016, para. 105).</w:t>
      </w:r>
    </w:p>
    <w:p w:rsidR="00051A2C"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sz w:val="23"/>
          <w:szCs w:val="23"/>
        </w:rPr>
        <w:t xml:space="preserve">Baka/Macaristan davasında, AİHM Eskelinen ölçütünü güçlendirmiştir. Buna göre, </w:t>
      </w:r>
      <w:r w:rsidRPr="004335C6">
        <w:rPr>
          <w:rFonts w:cs="Times New Roman"/>
          <w:b/>
          <w:sz w:val="23"/>
          <w:szCs w:val="23"/>
        </w:rPr>
        <w:t>kamu görevlisine iç hukukta yargı yolunu kapayan kuralın, müdahaleyi yapan işlemle birlikte olmaması, daha öncesinde mevcut olması gerekmektedir</w:t>
      </w:r>
      <w:r w:rsidRPr="004335C6">
        <w:rPr>
          <w:rFonts w:cs="Times New Roman"/>
          <w:sz w:val="23"/>
          <w:szCs w:val="23"/>
        </w:rPr>
        <w:t xml:space="preserve">. Aksi takdirde, taraf devletler, kamu hizmetinden çıkarmak istedikleri kişinin yargı yoluna başvurmaması için </w:t>
      </w:r>
      <w:r w:rsidRPr="004335C6">
        <w:rPr>
          <w:rFonts w:cs="Times New Roman"/>
          <w:i/>
          <w:sz w:val="23"/>
          <w:szCs w:val="23"/>
        </w:rPr>
        <w:t>ad hoc</w:t>
      </w:r>
      <w:r w:rsidRPr="004335C6">
        <w:rPr>
          <w:rFonts w:cs="Times New Roman"/>
          <w:sz w:val="23"/>
          <w:szCs w:val="23"/>
        </w:rPr>
        <w:t xml:space="preserve"> düzenlemeler yaparak, bu yetkiyi kötüye kullanabilirler (</w:t>
      </w:r>
      <w:r w:rsidRPr="004335C6">
        <w:rPr>
          <w:rFonts w:cs="Times New Roman"/>
          <w:i/>
          <w:sz w:val="23"/>
          <w:szCs w:val="23"/>
        </w:rPr>
        <w:t>Baka/Macaristan</w:t>
      </w:r>
      <w:r w:rsidRPr="004335C6">
        <w:rPr>
          <w:rFonts w:cs="Times New Roman"/>
          <w:sz w:val="23"/>
          <w:szCs w:val="23"/>
        </w:rPr>
        <w:t>, para. 116). Bu durumda, sonradan çıkarılan kurallarla yargı yolunun kapanması Eskelinen testinin birinci unsuru olan yargı yolunun “açıkça” kapalı olması unsurunu karşılamamaktadır.</w:t>
      </w:r>
    </w:p>
    <w:p w:rsidR="00051A2C"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b/>
          <w:sz w:val="23"/>
          <w:szCs w:val="23"/>
        </w:rPr>
        <w:t>Somut olayda başvurucu açısından Eskelinen testindeki her iki unsur da karşılanmamıştır</w:t>
      </w:r>
      <w:r w:rsidRPr="004335C6">
        <w:rPr>
          <w:rFonts w:cs="Times New Roman"/>
          <w:sz w:val="23"/>
          <w:szCs w:val="23"/>
        </w:rPr>
        <w:t>. Üniversitede öğretim üyesi olan başvurucunun idari ve adli kararlarla kamu hizmetinden nasıl çıkarılacağı ekte sunulan 2547 Sayılı Yükseköğretim Kanunu ile 657 Sayılı Devlet Memurları Kanunu’nda düzenlenmiştir. Bu yaptırım karşısında da idari yargı yolu açıktır. Anayasa’nın 129. maddesine göre “</w:t>
      </w:r>
      <w:r w:rsidRPr="004335C6">
        <w:rPr>
          <w:rFonts w:cs="Times New Roman"/>
          <w:i/>
          <w:sz w:val="23"/>
          <w:szCs w:val="23"/>
        </w:rPr>
        <w:t>Memurlar ve diğer kamu görevlileri ile kamu kurumu niteliğindeki meslek kuruluşları ve bunların üst kuruluşları mensuplarına savunma hakkı tanınmadıkça disiplin cezası verilemez</w:t>
      </w:r>
      <w:r w:rsidRPr="004335C6">
        <w:rPr>
          <w:rFonts w:cs="Times New Roman"/>
          <w:sz w:val="23"/>
          <w:szCs w:val="23"/>
        </w:rPr>
        <w:t>” ve “</w:t>
      </w:r>
      <w:r w:rsidRPr="004335C6">
        <w:rPr>
          <w:rFonts w:cs="Times New Roman"/>
          <w:i/>
          <w:sz w:val="23"/>
          <w:szCs w:val="23"/>
        </w:rPr>
        <w:t>Disiplin kararları yargı denetimi dışında bırakılamaz</w:t>
      </w:r>
      <w:r w:rsidRPr="004335C6">
        <w:rPr>
          <w:rFonts w:cs="Times New Roman"/>
          <w:sz w:val="23"/>
          <w:szCs w:val="23"/>
        </w:rPr>
        <w:t>”. Anılan düzen</w:t>
      </w:r>
      <w:r w:rsidR="007B107F" w:rsidRPr="004335C6">
        <w:rPr>
          <w:rFonts w:cs="Times New Roman"/>
          <w:sz w:val="23"/>
          <w:szCs w:val="23"/>
        </w:rPr>
        <w:t>lemelerde bir kamu görevlisinin</w:t>
      </w:r>
      <w:r w:rsidRPr="004335C6">
        <w:rPr>
          <w:rFonts w:eastAsia="Calibri" w:cs="Times New Roman"/>
          <w:sz w:val="23"/>
          <w:szCs w:val="23"/>
        </w:rPr>
        <w:t xml:space="preserve"> herhangi açık bir soruşturma yürütülmeden ve savunması alınmadan ebe</w:t>
      </w:r>
      <w:r w:rsidR="007B107F" w:rsidRPr="004335C6">
        <w:rPr>
          <w:rFonts w:eastAsia="Calibri" w:cs="Times New Roman"/>
          <w:sz w:val="23"/>
          <w:szCs w:val="23"/>
        </w:rPr>
        <w:t>di olarak görevinden çıkarılma</w:t>
      </w:r>
      <w:r w:rsidRPr="004335C6">
        <w:rPr>
          <w:rFonts w:eastAsia="Calibri" w:cs="Times New Roman"/>
          <w:sz w:val="23"/>
          <w:szCs w:val="23"/>
        </w:rPr>
        <w:t xml:space="preserve"> gibi bir yaptırım öngörülmemiştir. Bu yaptırım, başvurucunun kamu hizme</w:t>
      </w:r>
      <w:r w:rsidR="007B107F" w:rsidRPr="004335C6">
        <w:rPr>
          <w:rFonts w:eastAsia="Calibri" w:cs="Times New Roman"/>
          <w:sz w:val="23"/>
          <w:szCs w:val="23"/>
        </w:rPr>
        <w:t xml:space="preserve">tine girişinden yıllar sonra </w:t>
      </w:r>
      <w:r w:rsidR="007B107F" w:rsidRPr="00C22495">
        <w:rPr>
          <w:rFonts w:eastAsia="Calibri" w:cs="Times New Roman"/>
          <w:sz w:val="23"/>
          <w:szCs w:val="23"/>
          <w:highlight w:val="yellow"/>
        </w:rPr>
        <w:t>686</w:t>
      </w:r>
      <w:r w:rsidRPr="00C22495">
        <w:rPr>
          <w:rFonts w:eastAsia="Calibri" w:cs="Times New Roman"/>
          <w:sz w:val="23"/>
          <w:szCs w:val="23"/>
          <w:highlight w:val="yellow"/>
        </w:rPr>
        <w:t xml:space="preserve"> Sayılı</w:t>
      </w:r>
      <w:r w:rsidRPr="004335C6">
        <w:rPr>
          <w:rFonts w:eastAsia="Calibri" w:cs="Times New Roman"/>
          <w:sz w:val="23"/>
          <w:szCs w:val="23"/>
        </w:rPr>
        <w:t xml:space="preserve"> OHAL KHK’si ile getirilmiş, uygulanmış ve yargı yolu da kapatılmıştır. </w:t>
      </w:r>
      <w:r w:rsidRPr="004335C6">
        <w:rPr>
          <w:rFonts w:eastAsia="Calibri" w:cs="Times New Roman"/>
          <w:b/>
          <w:sz w:val="23"/>
          <w:szCs w:val="23"/>
        </w:rPr>
        <w:t xml:space="preserve">Bu yönüyle düzenlemenin Eskelinen testinde öngörülen “açıkça yargı yolunu kapama” unsurunu taşımadığı açıktır. </w:t>
      </w:r>
    </w:p>
    <w:p w:rsidR="0044721B" w:rsidRPr="004335C6" w:rsidRDefault="0044721B" w:rsidP="00051A2C">
      <w:pPr>
        <w:pStyle w:val="ListeParagraf"/>
        <w:numPr>
          <w:ilvl w:val="0"/>
          <w:numId w:val="12"/>
        </w:numPr>
        <w:spacing w:before="0" w:after="0"/>
        <w:ind w:right="113"/>
        <w:rPr>
          <w:rFonts w:cs="Times New Roman"/>
          <w:sz w:val="23"/>
          <w:szCs w:val="23"/>
        </w:rPr>
      </w:pPr>
      <w:r w:rsidRPr="004335C6">
        <w:rPr>
          <w:rFonts w:cs="Times New Roman"/>
          <w:sz w:val="23"/>
          <w:szCs w:val="23"/>
        </w:rPr>
        <w:t xml:space="preserve">Üniversitede öğretim üyesi olan başvurucunun, Devletle arasında Pellegrin’de belirtilen “özel bir güven ve sadakat” ilişkisi olmaması nedeniyle Eskelinen testinin 2. unsurunu da taşımadığı ortadadır. Üniversitede öğretim üyesi olan bir kişinin, hiçbir somut delile dayanmaksızın bir darbe girişimiyle ilişkilendirilip kamu </w:t>
      </w:r>
      <w:r w:rsidRPr="004335C6">
        <w:rPr>
          <w:rFonts w:cs="Times New Roman"/>
          <w:sz w:val="23"/>
          <w:szCs w:val="23"/>
        </w:rPr>
        <w:lastRenderedPageBreak/>
        <w:t xml:space="preserve">görevinden çıkartılmasının bu açıdan da meşru görülebilir bir yanı bulunmamaktadır. </w:t>
      </w:r>
      <w:r w:rsidR="00E617B0" w:rsidRPr="004335C6">
        <w:rPr>
          <w:rFonts w:cs="Times New Roman"/>
          <w:sz w:val="23"/>
          <w:szCs w:val="23"/>
        </w:rPr>
        <w:t>ekle</w:t>
      </w:r>
    </w:p>
    <w:p w:rsidR="007C4CD7" w:rsidRPr="004335C6" w:rsidRDefault="007C4CD7" w:rsidP="00836466">
      <w:pPr>
        <w:pStyle w:val="ListeParagraf"/>
        <w:spacing w:before="0" w:after="0"/>
        <w:ind w:left="113" w:right="113" w:firstLine="0"/>
        <w:rPr>
          <w:rFonts w:cs="Times New Roman"/>
          <w:sz w:val="23"/>
          <w:szCs w:val="23"/>
        </w:rPr>
      </w:pPr>
    </w:p>
    <w:p w:rsidR="007C4CD7" w:rsidRPr="004335C6" w:rsidRDefault="007C4CD7" w:rsidP="00836466">
      <w:pPr>
        <w:pStyle w:val="Balk2"/>
        <w:ind w:left="113" w:right="113"/>
        <w:rPr>
          <w:rFonts w:cs="Times New Roman"/>
          <w:sz w:val="23"/>
          <w:szCs w:val="23"/>
        </w:rPr>
      </w:pPr>
      <w:r w:rsidRPr="004335C6">
        <w:rPr>
          <w:rFonts w:cs="Times New Roman"/>
          <w:sz w:val="23"/>
          <w:szCs w:val="23"/>
        </w:rPr>
        <w:t>8. Madde Açısından</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Kamu hizmetine giriş hakkıyla bağlantılı başvurular Sözleşme kapsamında olmadığı gerekçesiyle AİHM tarafından reddedilmiştir. AİHM'e göre, demokratik bir devletin kamu görevlilerinin toplumun kurulu olduğu anayasal ilkelere bağlılık göstermesinde meşru bir yararı vardır.  </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Bununla birlikte, Mahkemeye göre özel hayat kavramı, kişinin moral ve fizik bütünlüğünü korumakta ve kişinin kişiliğini geliştirme ve yerine getirme konusunda bir alanı güvence altına almaktadır.  Buna göre, özel hayat kavramının dış dünya kavramından soyutlanmış bir iç dünya şeklinde tanımlanması çok kısıtlayıcı bir yaklaşım olacaktır. Birçok insanın dış dünya ile ilişkilerinin geliştirilmesinde çok önemli bir yere sahip olan meslek ve iş hayatının “özel hayat” kavramının dışında tutulmasını açıklayacak makul bir gerekçe yoktur.</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Komünist rejim sonrası kamudan arındırma işlemlerinin hukuk devleti ilkelerine uygun bir şekilde yürütülmesini sağlamak amacıyla Avrupa Konseyi Parlamenter Meclisi tarafında hazırlanan ve hem AİHM hem de Venedik Komisyonu</w:t>
      </w:r>
      <w:r w:rsidRPr="004335C6">
        <w:rPr>
          <w:vertAlign w:val="superscript"/>
        </w:rPr>
        <w:footnoteReference w:id="26"/>
      </w:r>
      <w:r w:rsidRPr="004335C6">
        <w:rPr>
          <w:rFonts w:eastAsia="MS Mincho" w:cs="Times New Roman"/>
          <w:bCs/>
          <w:sz w:val="23"/>
          <w:szCs w:val="23"/>
        </w:rPr>
        <w:t xml:space="preserve"> tarafından esas alınan AKPM Rehber İlkeleri</w:t>
      </w:r>
      <w:r w:rsidRPr="004335C6">
        <w:rPr>
          <w:vertAlign w:val="superscript"/>
        </w:rPr>
        <w:footnoteReference w:id="27"/>
      </w:r>
      <w:r w:rsidRPr="004335C6">
        <w:rPr>
          <w:rFonts w:eastAsia="MS Mincho" w:cs="Times New Roman"/>
          <w:bCs/>
          <w:sz w:val="23"/>
          <w:szCs w:val="23"/>
        </w:rPr>
        <w:t xml:space="preserve">, bu nedenle arındırmanın insan hakları ve demokrasiye tehdit teşkil eden pozisyonlarla sınırlı olması gerektiğini belirtmektedir. </w:t>
      </w:r>
    </w:p>
    <w:p w:rsidR="007C4CD7"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AKPM Rehber İlkeleri, arındırma sürecinde şu ilkelere uyulması gerektiğini vurgulamaktadır:</w:t>
      </w:r>
    </w:p>
    <w:p w:rsidR="007C4CD7" w:rsidRPr="004335C6" w:rsidRDefault="007C4CD7" w:rsidP="00836466">
      <w:pPr>
        <w:ind w:left="113" w:right="113" w:hanging="142"/>
        <w:rPr>
          <w:rFonts w:eastAsia="MS Mincho" w:cs="Times New Roman"/>
          <w:sz w:val="23"/>
          <w:szCs w:val="23"/>
        </w:rPr>
      </w:pPr>
      <w:r w:rsidRPr="004335C6">
        <w:rPr>
          <w:rFonts w:eastAsia="MS Mincho" w:cs="Times New Roman"/>
          <w:sz w:val="23"/>
          <w:szCs w:val="23"/>
        </w:rPr>
        <w:t xml:space="preserve">Para. 4: Demokratik bir hukuk devleti, adaletin sağlanması ve suçluların cezalandırılması için yeterli araca sahiptir, </w:t>
      </w:r>
      <w:r w:rsidRPr="004335C6">
        <w:rPr>
          <w:rFonts w:eastAsia="MS Mincho" w:cs="Times New Roman"/>
          <w:b/>
          <w:sz w:val="23"/>
          <w:szCs w:val="23"/>
        </w:rPr>
        <w:t>adalet yerine intikam duygusuna hizmet etmemelidir</w:t>
      </w:r>
      <w:r w:rsidRPr="004335C6">
        <w:rPr>
          <w:rFonts w:eastAsia="MS Mincho" w:cs="Times New Roman"/>
          <w:sz w:val="23"/>
          <w:szCs w:val="23"/>
        </w:rPr>
        <w:t xml:space="preserve">. Hukuk sistemi, adil yargılanma ve dinlenme hakkı gibi insan hakları ve temel özgürlüklere saygı göstermeli ve bu hakların kendileri iktidardayken bu kurallara riayet etmeyenlere bile uygulamalıdır. </w:t>
      </w:r>
    </w:p>
    <w:p w:rsidR="007C4CD7" w:rsidRPr="004335C6" w:rsidRDefault="007C4CD7" w:rsidP="00836466">
      <w:pPr>
        <w:ind w:left="113" w:right="113" w:hanging="142"/>
        <w:rPr>
          <w:rFonts w:eastAsia="MS Mincho" w:cs="Times New Roman"/>
          <w:sz w:val="23"/>
          <w:szCs w:val="23"/>
        </w:rPr>
      </w:pPr>
      <w:r w:rsidRPr="004335C6">
        <w:rPr>
          <w:rFonts w:eastAsia="MS Mincho" w:cs="Times New Roman"/>
          <w:sz w:val="23"/>
          <w:szCs w:val="23"/>
        </w:rPr>
        <w:t xml:space="preserve">Para 12: Bu önlemler ancak belli ölçütlere uydukları takdirde demokratik bir devletle uyumlu olabilir. Birinci olarak, </w:t>
      </w:r>
      <w:r w:rsidRPr="004335C6">
        <w:rPr>
          <w:rFonts w:eastAsia="MS Mincho" w:cs="Times New Roman"/>
          <w:b/>
          <w:sz w:val="23"/>
          <w:szCs w:val="23"/>
        </w:rPr>
        <w:t>kolektif değil bireysel olan suç her bireysel vakada ayrıca kanıtlanmalıdır</w:t>
      </w:r>
      <w:r w:rsidRPr="004335C6">
        <w:rPr>
          <w:rFonts w:eastAsia="MS Mincho" w:cs="Times New Roman"/>
          <w:sz w:val="23"/>
          <w:szCs w:val="23"/>
        </w:rPr>
        <w:t xml:space="preserve">. İkinci olarak, </w:t>
      </w:r>
      <w:r w:rsidRPr="004335C6">
        <w:rPr>
          <w:rFonts w:eastAsia="MS Mincho" w:cs="Times New Roman"/>
          <w:b/>
          <w:sz w:val="23"/>
          <w:szCs w:val="23"/>
        </w:rPr>
        <w:t>savunma hakkı, masumiyet karinesi ve</w:t>
      </w:r>
      <w:r w:rsidRPr="004335C6">
        <w:rPr>
          <w:rFonts w:eastAsia="MS Mincho" w:cs="Times New Roman"/>
          <w:sz w:val="23"/>
          <w:szCs w:val="23"/>
        </w:rPr>
        <w:t xml:space="preserve"> </w:t>
      </w:r>
      <w:r w:rsidRPr="004335C6">
        <w:rPr>
          <w:rFonts w:eastAsia="MS Mincho" w:cs="Times New Roman"/>
          <w:b/>
          <w:sz w:val="23"/>
          <w:szCs w:val="23"/>
        </w:rPr>
        <w:t>mahkemeye ulaşma hakkı garanti altına alınmalıdır</w:t>
      </w:r>
      <w:r w:rsidRPr="004335C6">
        <w:rPr>
          <w:rFonts w:eastAsia="MS Mincho" w:cs="Times New Roman"/>
          <w:sz w:val="23"/>
          <w:szCs w:val="23"/>
        </w:rPr>
        <w:t xml:space="preserve">. </w:t>
      </w:r>
      <w:r w:rsidRPr="004335C6">
        <w:rPr>
          <w:rFonts w:eastAsia="MS Mincho" w:cs="Times New Roman"/>
          <w:b/>
          <w:sz w:val="23"/>
          <w:szCs w:val="23"/>
        </w:rPr>
        <w:t>İntikam asla bu tedbirlerin</w:t>
      </w:r>
      <w:r w:rsidRPr="004335C6">
        <w:rPr>
          <w:rFonts w:eastAsia="MS Mincho" w:cs="Times New Roman"/>
          <w:sz w:val="23"/>
          <w:szCs w:val="23"/>
        </w:rPr>
        <w:t xml:space="preserve"> </w:t>
      </w:r>
      <w:r w:rsidR="00B44C12" w:rsidRPr="004335C6">
        <w:rPr>
          <w:rFonts w:eastAsia="MS Mincho" w:cs="Times New Roman"/>
          <w:b/>
          <w:sz w:val="23"/>
          <w:szCs w:val="23"/>
        </w:rPr>
        <w:t>amacı olmama</w:t>
      </w:r>
      <w:r w:rsidRPr="004335C6">
        <w:rPr>
          <w:rFonts w:eastAsia="MS Mincho" w:cs="Times New Roman"/>
          <w:b/>
          <w:sz w:val="23"/>
          <w:szCs w:val="23"/>
        </w:rPr>
        <w:t>lıdır</w:t>
      </w:r>
      <w:r w:rsidRPr="004335C6">
        <w:rPr>
          <w:rFonts w:eastAsia="MS Mincho" w:cs="Times New Roman"/>
          <w:sz w:val="23"/>
          <w:szCs w:val="23"/>
        </w:rPr>
        <w:t xml:space="preserve">. </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t>Bunun yanında şu ilkelere de riayet edilmelidir:</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t>“a. Arındırma özel kurulan bağımsız komisyonlar eliyle yürütülmelidir;</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t>b. Arındırma önlemleri, sadece pozisyonunu insan hakları ihlali gerçekleştirmek veya demokratikleşme sürecini engellemek yoluyla kullanan kişinin demokratik düzene oluşturduğu ciddi tehdidi azaltmak için bu kişilere yönelik olarak kullanılabilir;</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t xml:space="preserve">c. Arındırma; </w:t>
      </w:r>
      <w:r w:rsidRPr="004335C6">
        <w:rPr>
          <w:rFonts w:eastAsia="MS Mincho" w:cs="Times New Roman"/>
          <w:b/>
          <w:sz w:val="23"/>
          <w:szCs w:val="23"/>
        </w:rPr>
        <w:t>cezalandırma, ödetme veya intikam amaçlı kullanılamaz</w:t>
      </w:r>
      <w:r w:rsidRPr="004335C6">
        <w:rPr>
          <w:rFonts w:eastAsia="MS Mincho" w:cs="Times New Roman"/>
          <w:sz w:val="23"/>
          <w:szCs w:val="23"/>
        </w:rPr>
        <w:t>. Cezalandırma ceza usul kurallarına riayet edilerek ceza kanunlarına göre yapılabilir;</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lastRenderedPageBreak/>
        <w:t>d. Arındırma sadece insan hakları ve demokrasi açısından ciddi tehlike oluşturduğuna dair iyi gerekçeler bulunan, yani iç güvenliğe ilişkin  hükümet politika ve uygulamalarını yapan ve uygulayan kişilerle insan hakları ihlallerinin emrinin verildiği ve/veya işlendiği kolluk, güvenlik, istihbarat ve yargı kimi kurumlarda, uygulanmalıdır.;</w:t>
      </w:r>
    </w:p>
    <w:p w:rsidR="007C4CD7" w:rsidRPr="004335C6" w:rsidRDefault="007C4CD7" w:rsidP="00836466">
      <w:pPr>
        <w:spacing w:before="0" w:after="0"/>
        <w:ind w:left="114" w:right="113" w:hanging="142"/>
        <w:rPr>
          <w:rFonts w:eastAsia="MS Mincho" w:cs="Times New Roman"/>
          <w:sz w:val="23"/>
          <w:szCs w:val="23"/>
        </w:rPr>
      </w:pPr>
      <w:r w:rsidRPr="004335C6">
        <w:rPr>
          <w:rFonts w:eastAsia="MS Mincho" w:cs="Times New Roman"/>
          <w:sz w:val="23"/>
          <w:szCs w:val="23"/>
        </w:rPr>
        <w:t>g. Arındırma nedeniyle hizmetten çıkarma, kişinin kişisel tutumu ve alışkanlıklarındaki değişikliklerin dikkate alınması gerektiği için, 5 yıldan fazla sürmemelidir;</w:t>
      </w:r>
    </w:p>
    <w:p w:rsidR="00051A2C" w:rsidRPr="004335C6" w:rsidRDefault="007C4CD7" w:rsidP="00051A2C">
      <w:pPr>
        <w:spacing w:before="0" w:after="0"/>
        <w:ind w:left="114" w:right="113" w:hanging="142"/>
        <w:rPr>
          <w:rFonts w:eastAsia="MS Mincho" w:cs="Times New Roman"/>
          <w:sz w:val="23"/>
          <w:szCs w:val="23"/>
        </w:rPr>
      </w:pPr>
      <w:r w:rsidRPr="004335C6">
        <w:rPr>
          <w:rFonts w:eastAsia="MS Mincho" w:cs="Times New Roman"/>
          <w:sz w:val="23"/>
          <w:szCs w:val="23"/>
        </w:rPr>
        <w:t>m. Hiçbir şekilde bir kişi, avukata erişim hakkı (kişinin durumunun elvermediği durumlarda adli yardımla), kendisi aleyhine sunulan delillere karşı çıkma hakkı, tüm suçlayıcı delillere ulaşma hakkı, kendi delillerini sunma hakkı, kendi istediği takdirde açık yargılanma hakkı ve tarafsız bir mahkemeye başvurma hakkı dahil olmak ve bunlarla kısıtlı olmamak üzere tüm adil yargılanma güvencelerinden yararlandırılmadan arındırma sürecine tabi kılınmamalıdır.”</w:t>
      </w:r>
    </w:p>
    <w:p w:rsidR="00051A2C"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Görüldüğü gibi arındırma önleminin, sadece kamu gücü ayrıcalığı kullanan, insan hakları ihlaline neden olabilecek kişilerle sınırlı tutulmasını gerektirmektedir. Polis, asker, hakim, savcı gibi meslek kategorileri bu kapsamda görülebilir. Ancak kamu gücünü kullandığına, darbeye doğrudan katıldığına dair kanıt olmayan başvurucu gibi öğretim üyelerinin bu kapsamda kamu hizmetinden çıkarılması demokratik bir toplumda zorunlu olarak değerlendirilemez. Bir kişinin görevini, kendi kişisel kusurunu, çalıştığı dönemi dikkate alıp bireyselleştirme yapmadan uygulanan hizmetten çıkarma yaptırımlarının da Sözleşme’ye aykırı olduğu tespit edilmektedir.</w:t>
      </w:r>
      <w:r w:rsidRPr="004335C6">
        <w:rPr>
          <w:vertAlign w:val="superscript"/>
        </w:rPr>
        <w:footnoteReference w:id="28"/>
      </w:r>
      <w:r w:rsidRPr="004335C6">
        <w:rPr>
          <w:rFonts w:eastAsia="MS Mincho" w:cs="Times New Roman"/>
          <w:bCs/>
          <w:sz w:val="23"/>
          <w:szCs w:val="23"/>
        </w:rPr>
        <w:t xml:space="preserve"> AİHM, KGB ile hangi düzeyde bağı olduğuna bakmaksızın herkesi kapsayan düzenlemelerin Sözleşmeye aykırı olduğuna karar vermiştir.</w:t>
      </w:r>
      <w:r w:rsidRPr="004335C6">
        <w:rPr>
          <w:vertAlign w:val="superscript"/>
        </w:rPr>
        <w:footnoteReference w:id="29"/>
      </w:r>
      <w:r w:rsidRPr="004335C6">
        <w:rPr>
          <w:rFonts w:eastAsia="MS Mincho" w:cs="Times New Roman"/>
          <w:bCs/>
          <w:sz w:val="23"/>
          <w:szCs w:val="23"/>
        </w:rPr>
        <w:t xml:space="preserve"> </w:t>
      </w:r>
    </w:p>
    <w:p w:rsidR="00051A2C"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Aynı şekilde bir kişinin kanaat ve düşünceleri de tek başına meslekten çıkarma için yeterli olamaz. Kamudan arındırma işlemleri, ceza hukuku ile benzerlik gösterdiği için kişinin kusurunun mutlaka değerlendirilmesi gerekir. Varolan koşullarda, kusurlu sayılamayacak kişilerin salt bir görevde olmaları haklarında işlem yapılmasını meşru gösteremez.</w:t>
      </w:r>
      <w:r w:rsidRPr="004335C6">
        <w:rPr>
          <w:vertAlign w:val="superscript"/>
        </w:rPr>
        <w:footnoteReference w:id="30"/>
      </w:r>
    </w:p>
    <w:p w:rsidR="00051A2C"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 xml:space="preserve">Zaman bakımından da kamu hizmetinden yasaklanma işleminin söz konusu tehlike ile arasında bağlantı olması gerekir. </w:t>
      </w:r>
      <w:r w:rsidRPr="004335C6">
        <w:rPr>
          <w:rFonts w:eastAsia="MS Mincho" w:cs="Times New Roman"/>
          <w:b/>
          <w:bCs/>
          <w:sz w:val="23"/>
          <w:szCs w:val="23"/>
        </w:rPr>
        <w:t>Tehlikenin kalkmasından sonra, yasaklılığın devam etmesi demokratik bir toplumda gereklilik ilkesiyle açıklanamaz</w:t>
      </w:r>
      <w:r w:rsidRPr="004335C6">
        <w:rPr>
          <w:rFonts w:eastAsia="MS Mincho" w:cs="Times New Roman"/>
          <w:bCs/>
          <w:sz w:val="23"/>
          <w:szCs w:val="23"/>
        </w:rPr>
        <w:t>.</w:t>
      </w:r>
      <w:r w:rsidRPr="004335C6">
        <w:rPr>
          <w:vertAlign w:val="superscript"/>
        </w:rPr>
        <w:footnoteReference w:id="31"/>
      </w:r>
    </w:p>
    <w:p w:rsidR="00051A2C"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 xml:space="preserve">Somut olayda, </w:t>
      </w:r>
      <w:r w:rsidRPr="004335C6">
        <w:rPr>
          <w:rFonts w:eastAsia="MS Mincho" w:cs="Times New Roman"/>
          <w:b/>
          <w:bCs/>
          <w:sz w:val="23"/>
          <w:szCs w:val="23"/>
        </w:rPr>
        <w:t>başvurucunun darbe girişimiyle, darbe girişimi yaptığı söylenen dini cemaatle veya örgütle hiçbir ilgisi bulunmamaktadır</w:t>
      </w:r>
      <w:r w:rsidRPr="004335C6">
        <w:rPr>
          <w:rFonts w:eastAsia="MS Mincho" w:cs="Times New Roman"/>
          <w:bCs/>
          <w:sz w:val="23"/>
          <w:szCs w:val="23"/>
        </w:rPr>
        <w:t xml:space="preserve">. Kişisel bir kusuru kanıtlanmadığı gibi, herhangi bir şiddet aracına başvurması da mümkün değildir. </w:t>
      </w:r>
      <w:r w:rsidR="001C02ED">
        <w:rPr>
          <w:rFonts w:eastAsia="MS Mincho" w:cs="Times New Roman"/>
          <w:bCs/>
          <w:sz w:val="23"/>
          <w:szCs w:val="23"/>
        </w:rPr>
        <w:t xml:space="preserve">Başvurucu ifade özgürlüğünü kullandığı için ihraç edilmiş ve hakkında adli soruşturma açılmıştır. </w:t>
      </w:r>
      <w:r w:rsidRPr="004335C6">
        <w:rPr>
          <w:rFonts w:eastAsia="MS Mincho" w:cs="Times New Roman"/>
          <w:bCs/>
          <w:sz w:val="23"/>
          <w:szCs w:val="23"/>
        </w:rPr>
        <w:t xml:space="preserve"> </w:t>
      </w:r>
    </w:p>
    <w:p w:rsidR="00051A2C"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 xml:space="preserve">Adil yargılanma ve olaylar bölümlerinde açıklandığı gibi başvurucu hakkında yürütülmüş bir ceza soruşturması, suçlama, kendisi aleyhine sunulmuş bir suçlama ve delil yoktur. Kamu hizmetinden çıkarılma yaptırımı öncesi savunması alınmadığı gibi suçlama karşıtı delil sunma imkanı da verilmemiştir. </w:t>
      </w:r>
    </w:p>
    <w:p w:rsidR="007C4CD7" w:rsidRPr="004335C6" w:rsidRDefault="007C4CD7" w:rsidP="00051A2C">
      <w:pPr>
        <w:pStyle w:val="ListeParagraf"/>
        <w:numPr>
          <w:ilvl w:val="0"/>
          <w:numId w:val="12"/>
        </w:numPr>
        <w:spacing w:before="0" w:after="0"/>
        <w:ind w:right="113"/>
        <w:rPr>
          <w:rFonts w:eastAsia="MS Mincho" w:cs="Times New Roman"/>
          <w:sz w:val="23"/>
          <w:szCs w:val="23"/>
        </w:rPr>
      </w:pPr>
      <w:r w:rsidRPr="004335C6">
        <w:rPr>
          <w:rFonts w:eastAsia="MS Mincho" w:cs="Times New Roman"/>
          <w:bCs/>
          <w:sz w:val="23"/>
          <w:szCs w:val="23"/>
        </w:rPr>
        <w:t>Bunun yanında, darbeyle hiçbir illiyet bağı bulunmayan başvurucunun kamu hizmetinden çıkarılması aynı zamanda ölçüsüz bir yaptırım niteliğindedir. Çünkü bir hukukçu olan başvuru, kamu hizmetinden bir kez daha dönememek üzere çıkarılmış, dahası doğrudan veya dolaylı her türlü kamu hizmetine girmesi yasaklanmış ve pasaportu iptal edilmiştir. Bu koşullar altında başvuru</w:t>
      </w:r>
      <w:r w:rsidR="00783D0C" w:rsidRPr="004335C6">
        <w:rPr>
          <w:rFonts w:eastAsia="MS Mincho" w:cs="Times New Roman"/>
          <w:bCs/>
          <w:sz w:val="23"/>
          <w:szCs w:val="23"/>
        </w:rPr>
        <w:t>cu hakimlik</w:t>
      </w:r>
      <w:r w:rsidRPr="004335C6">
        <w:rPr>
          <w:rFonts w:eastAsia="MS Mincho" w:cs="Times New Roman"/>
          <w:bCs/>
          <w:sz w:val="23"/>
          <w:szCs w:val="23"/>
        </w:rPr>
        <w:t>,</w:t>
      </w:r>
      <w:r w:rsidR="00783D0C" w:rsidRPr="004335C6">
        <w:rPr>
          <w:rFonts w:eastAsia="MS Mincho" w:cs="Times New Roman"/>
          <w:bCs/>
          <w:sz w:val="23"/>
          <w:szCs w:val="23"/>
        </w:rPr>
        <w:t xml:space="preserve"> </w:t>
      </w:r>
      <w:r w:rsidRPr="004335C6">
        <w:rPr>
          <w:rFonts w:eastAsia="MS Mincho" w:cs="Times New Roman"/>
          <w:bCs/>
          <w:sz w:val="23"/>
          <w:szCs w:val="23"/>
        </w:rPr>
        <w:t xml:space="preserve">savcılık ve de avukatlık yapamayacak, yurtdışında çalışma imkanı da olmayacaktır. Bu şekilde </w:t>
      </w:r>
      <w:r w:rsidRPr="004335C6">
        <w:rPr>
          <w:rFonts w:eastAsia="MS Mincho" w:cs="Times New Roman"/>
          <w:bCs/>
          <w:sz w:val="23"/>
          <w:szCs w:val="23"/>
        </w:rPr>
        <w:lastRenderedPageBreak/>
        <w:t>başvurucunun çalışma hayatına ilişkin orantısız müdahalelerle AİHS 8. maddede düzenlenen özel hayat güvencesinin ihlal edildiğine karar verilmesi gerekir.</w:t>
      </w:r>
    </w:p>
    <w:p w:rsidR="007C4CD7" w:rsidRPr="004335C6" w:rsidRDefault="007C4CD7" w:rsidP="00836466">
      <w:pPr>
        <w:keepNext/>
        <w:keepLines/>
        <w:spacing w:before="240"/>
        <w:ind w:left="113" w:right="113" w:hanging="142"/>
        <w:outlineLvl w:val="0"/>
        <w:rPr>
          <w:rFonts w:eastAsia="MS Gothic" w:cs="Times New Roman"/>
          <w:b/>
          <w:bCs/>
          <w:sz w:val="23"/>
          <w:szCs w:val="23"/>
        </w:rPr>
      </w:pPr>
      <w:r w:rsidRPr="004335C6">
        <w:rPr>
          <w:rFonts w:eastAsia="MS Gothic" w:cs="Times New Roman"/>
          <w:b/>
          <w:bCs/>
          <w:sz w:val="23"/>
          <w:szCs w:val="23"/>
        </w:rPr>
        <w:t>Olağanüstü Hal ve 15. Madde Bildirimi Hakkında</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Hükümet Avrupa Konseyi’ne 21 Temmuz 2016 tarihinde Olağanüstü Hal ilanı ile ilgili olarak bildirimde bulunmuştur. Bildirimde, Türkiye’de büyük ölçekli bir darbe girişimi olduğu ve bu nedenle Olağanüstü Hal ilan edildiği bildirilmektedir. Başvuru konusu önlemin bu kapsamda değerlendirilmesi de gerekir.</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Taraf Devletler, </w:t>
      </w:r>
      <w:r w:rsidRPr="004335C6">
        <w:rPr>
          <w:rFonts w:eastAsia="MS Mincho" w:cs="Times New Roman"/>
          <w:b/>
          <w:bCs/>
          <w:sz w:val="23"/>
          <w:szCs w:val="23"/>
        </w:rPr>
        <w:t>olağanüstü hal ilan edildiğinde takdir marjları genişlese de bu herşeyi yapabilecekleri anlamına gelmemektedir</w:t>
      </w:r>
      <w:r w:rsidRPr="004335C6">
        <w:rPr>
          <w:rFonts w:eastAsia="MS Mincho" w:cs="Times New Roman"/>
          <w:bCs/>
          <w:sz w:val="23"/>
          <w:szCs w:val="23"/>
        </w:rPr>
        <w:t xml:space="preserve">. Orantılılık ilkesi “şartların gerektirdiğinden daha fazla önlem alınmasını kati bir şekilde yasaklar” (Aksoy/Türkiye, para. 68). </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Başvuru konusu olay bakımından, AİHM içtihadından çıkarılabilecek 3 unsura bakılabilir: a. </w:t>
      </w:r>
      <w:r w:rsidRPr="004335C6">
        <w:rPr>
          <w:rFonts w:eastAsia="MS Mincho" w:cs="Times New Roman"/>
          <w:b/>
          <w:bCs/>
          <w:sz w:val="23"/>
          <w:szCs w:val="23"/>
        </w:rPr>
        <w:t>Hükümetin bildirimi kamu hizmetinden çıkarma yaptırımını içermekte midir?</w:t>
      </w:r>
      <w:r w:rsidRPr="004335C6">
        <w:rPr>
          <w:rFonts w:eastAsia="MS Mincho" w:cs="Times New Roman"/>
          <w:bCs/>
          <w:sz w:val="23"/>
          <w:szCs w:val="23"/>
        </w:rPr>
        <w:t xml:space="preserve">, b. </w:t>
      </w:r>
      <w:r w:rsidRPr="004335C6">
        <w:rPr>
          <w:rFonts w:eastAsia="MS Mincho" w:cs="Times New Roman"/>
          <w:b/>
          <w:bCs/>
          <w:sz w:val="23"/>
          <w:szCs w:val="23"/>
        </w:rPr>
        <w:t>Alınan önlem şartların gerektirdiği nitelikte midir?</w:t>
      </w:r>
      <w:r w:rsidRPr="004335C6">
        <w:rPr>
          <w:rFonts w:eastAsia="MS Mincho" w:cs="Times New Roman"/>
          <w:bCs/>
          <w:sz w:val="23"/>
          <w:szCs w:val="23"/>
        </w:rPr>
        <w:t xml:space="preserve">, c. </w:t>
      </w:r>
      <w:r w:rsidRPr="004335C6">
        <w:rPr>
          <w:rFonts w:eastAsia="MS Mincho" w:cs="Times New Roman"/>
          <w:b/>
          <w:bCs/>
          <w:sz w:val="23"/>
          <w:szCs w:val="23"/>
        </w:rPr>
        <w:t>15. maddenin 2. fıkrası uyarınca askıya alınamayan haklar önlemden etkilenmiş midir?</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AİHM, Aksoy/Türkiye kararında, olağanüstü hal sırasında alınacak önlemlere ilişkin bildirimin, dava konusu önlemle ilgili yeterli bir bilgiyi içerip içermediğini doğrudan kendisinin inceleyebileceğini belirtmiştir (Aksoy/Türkiye, para. 86). Türkiye, </w:t>
      </w:r>
      <w:r w:rsidRPr="004335C6">
        <w:rPr>
          <w:rFonts w:eastAsia="MS Mincho" w:cs="Times New Roman"/>
          <w:b/>
          <w:bCs/>
          <w:sz w:val="23"/>
          <w:szCs w:val="23"/>
        </w:rPr>
        <w:t>Avrupa Konseyi’ne sunduğu bildirimde onbinlerce kamu görevlisini yargısız, sorgusuz ve sualsiz ve tüm sözleşme hükümlerini hiçe sayarak görevden alabileceğini belirtmemiştir</w:t>
      </w:r>
      <w:r w:rsidRPr="004335C6">
        <w:rPr>
          <w:rFonts w:eastAsia="MS Mincho" w:cs="Times New Roman"/>
          <w:bCs/>
          <w:sz w:val="23"/>
          <w:szCs w:val="23"/>
        </w:rPr>
        <w:t xml:space="preserve">. </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Nitekim Sakık ve Diğerleri başvurusunda hükümet yer bakımından sadece Güneydoğu’da uygulanacağını belirttiği önlemleri Ankara’da da uygulamış, AİHM kapsam dışında olan uygulamanın Sözleşmeye aykırı olduğunu tespit etmiştir (Sakık ve Diğerleri/Türkiye, para. 39). </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
          <w:bCs/>
          <w:sz w:val="23"/>
          <w:szCs w:val="23"/>
        </w:rPr>
        <w:t>Bu başvuruda da hükümet konu bakımından yaptığı bildirimin çok ötesine geçmiştir</w:t>
      </w:r>
      <w:r w:rsidRPr="004335C6">
        <w:rPr>
          <w:rFonts w:eastAsia="MS Mincho" w:cs="Times New Roman"/>
          <w:bCs/>
          <w:sz w:val="23"/>
          <w:szCs w:val="23"/>
        </w:rPr>
        <w:t xml:space="preserve">. Başvuru konusu kamu hizmetinden çıkarma yaptırımının, konu bakımından davalı hükümetin 15. madde bildiriminin </w:t>
      </w:r>
      <w:r w:rsidR="00051A2C" w:rsidRPr="004335C6">
        <w:rPr>
          <w:rFonts w:eastAsia="MS Mincho" w:cs="Times New Roman"/>
          <w:bCs/>
          <w:sz w:val="23"/>
          <w:szCs w:val="23"/>
        </w:rPr>
        <w:t>kapsamında olmadığı çok açıktır.</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Başvuru konusu önlem, hakların askıya alınması açısından 2. unsuru, yani şartların gerektirdiği ölçüde olma ölçütünü de karşılamamaktadır (A ve Diğerleri/Birleşik Krallık, para. 173 vd). BM İnsan Hakları Komitesi’nin belirttiği gibi olağanüstü halde alınacak önlemler istisnai ve geçici olmalıdır.</w:t>
      </w:r>
      <w:r w:rsidRPr="004335C6">
        <w:rPr>
          <w:vertAlign w:val="superscript"/>
        </w:rPr>
        <w:footnoteReference w:id="32"/>
      </w:r>
      <w:r w:rsidRPr="004335C6">
        <w:rPr>
          <w:rFonts w:eastAsia="MS Mincho" w:cs="Times New Roman"/>
          <w:bCs/>
          <w:sz w:val="23"/>
          <w:szCs w:val="23"/>
        </w:rPr>
        <w:t xml:space="preserve"> Halbuki, başvurucu doğrudan ve dolaylı kamu hizmetinden ebediyen çıkarılmakta ve “medeni ölüm”e terk edilmektedir. </w:t>
      </w:r>
      <w:r w:rsidRPr="004335C6">
        <w:rPr>
          <w:rFonts w:eastAsia="MS Mincho" w:cs="Times New Roman"/>
          <w:b/>
          <w:bCs/>
          <w:sz w:val="23"/>
          <w:szCs w:val="23"/>
        </w:rPr>
        <w:t>Alınan önlem, şartların gerektirdiği ölçülerle sınırlı olmadığı gibi hiçbir sınırı yoktur</w:t>
      </w:r>
      <w:r w:rsidRPr="004335C6">
        <w:rPr>
          <w:rFonts w:eastAsia="MS Mincho" w:cs="Times New Roman"/>
          <w:bCs/>
          <w:sz w:val="23"/>
          <w:szCs w:val="23"/>
        </w:rPr>
        <w:t xml:space="preserve">. </w:t>
      </w:r>
    </w:p>
    <w:p w:rsidR="00051A2C"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Konu bakımından da alınan önlemlerin şartların gerekleri ile ilgisi olmadığı açıktır. </w:t>
      </w:r>
      <w:r w:rsidRPr="004335C6">
        <w:rPr>
          <w:rFonts w:eastAsia="MS Mincho" w:cs="Times New Roman"/>
          <w:b/>
          <w:bCs/>
          <w:sz w:val="23"/>
          <w:szCs w:val="23"/>
        </w:rPr>
        <w:t>Olağanüstü hal ilanının gerekçesi ordu içerisinde bir grup subayın darbe girişimidir</w:t>
      </w:r>
      <w:r w:rsidRPr="004335C6">
        <w:rPr>
          <w:rFonts w:eastAsia="MS Mincho" w:cs="Times New Roman"/>
          <w:bCs/>
          <w:sz w:val="23"/>
          <w:szCs w:val="23"/>
        </w:rPr>
        <w:t xml:space="preserve">. </w:t>
      </w:r>
      <w:r w:rsidR="00B44C12" w:rsidRPr="004335C6">
        <w:rPr>
          <w:rFonts w:eastAsia="MS Mincho" w:cs="Times New Roman"/>
          <w:b/>
          <w:bCs/>
          <w:sz w:val="23"/>
          <w:szCs w:val="23"/>
        </w:rPr>
        <w:t>Başvurucu h</w:t>
      </w:r>
      <w:r w:rsidRPr="004335C6">
        <w:rPr>
          <w:rFonts w:eastAsia="MS Mincho" w:cs="Times New Roman"/>
          <w:b/>
          <w:bCs/>
          <w:sz w:val="23"/>
          <w:szCs w:val="23"/>
        </w:rPr>
        <w:t>akkında değil darbeye katkı sunmak, şiddet kullandığına dair tek bir ifade ve delil bulunmamaktadır</w:t>
      </w:r>
      <w:r w:rsidRPr="004335C6">
        <w:rPr>
          <w:rFonts w:eastAsia="MS Mincho" w:cs="Times New Roman"/>
          <w:bCs/>
          <w:sz w:val="23"/>
          <w:szCs w:val="23"/>
        </w:rPr>
        <w:t xml:space="preserve">. Bu koşullar altında, tüm adil yargılanma ilkelerinin askıya alınarak hakkında işlem yapılmasının 15. madde kapsamında görülmesine imkan yoktur. </w:t>
      </w:r>
    </w:p>
    <w:p w:rsidR="007C4CD7"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Nihayet, </w:t>
      </w:r>
      <w:r w:rsidRPr="004335C6">
        <w:rPr>
          <w:rFonts w:eastAsia="MS Mincho" w:cs="Times New Roman"/>
          <w:b/>
          <w:bCs/>
          <w:sz w:val="23"/>
          <w:szCs w:val="23"/>
        </w:rPr>
        <w:t>başvuru konusu önlem, Sözleşme’nin 15. maddesinin 2. paragrafında düzenlenen yasağı da ihlal etmektedir</w:t>
      </w:r>
      <w:r w:rsidRPr="004335C6">
        <w:rPr>
          <w:rFonts w:eastAsia="MS Mincho" w:cs="Times New Roman"/>
          <w:bCs/>
          <w:sz w:val="23"/>
          <w:szCs w:val="23"/>
        </w:rPr>
        <w:t xml:space="preserve">. Gerçekten de anılan paragrafa göre, olağanüstü hal ilan edildikten sonra kanunsuz suç yasağını içeren Sözleşme’nin 7. maddesinin askıya alınması mümkün değildir. Oysa, 672 Sayılı KHK ile yeni bir suç ihdas edilmiş ve “Terör örgütlerine veya Milli Güvenlik </w:t>
      </w:r>
      <w:r w:rsidRPr="004335C6">
        <w:rPr>
          <w:rFonts w:eastAsia="MS Mincho" w:cs="Times New Roman"/>
          <w:bCs/>
          <w:sz w:val="23"/>
          <w:szCs w:val="23"/>
        </w:rPr>
        <w:lastRenderedPageBreak/>
        <w:t xml:space="preserve">Kurulunca Devletin milli güvenliğine karşı faaliyette bulunduğuna karar verilen yapı, oluşum veya gruplara üyeliği, mensubiyeti veya iltisakı yahut bunlarla irtibatı olanlar” hakkında kamu hizmetinden çıkarma yaptırımı öngörülmüştür. 6. maddeye ilişkin açıklamalarımızda görülebileceği üzere </w:t>
      </w:r>
      <w:r w:rsidRPr="004335C6">
        <w:rPr>
          <w:rFonts w:eastAsia="MS Mincho" w:cs="Times New Roman"/>
          <w:b/>
          <w:bCs/>
          <w:sz w:val="23"/>
          <w:szCs w:val="23"/>
        </w:rPr>
        <w:t xml:space="preserve">bu düzenleme Sözleşme’deki özerk anlamıyla bir “cezai isnad”dır </w:t>
      </w:r>
      <w:r w:rsidRPr="004335C6">
        <w:rPr>
          <w:rFonts w:eastAsia="MS Mincho" w:cs="Times New Roman"/>
          <w:bCs/>
          <w:sz w:val="23"/>
          <w:szCs w:val="23"/>
        </w:rPr>
        <w:t xml:space="preserve">ve bu nedenle </w:t>
      </w:r>
      <w:r w:rsidRPr="004335C6">
        <w:rPr>
          <w:rFonts w:eastAsia="MS Mincho" w:cs="Times New Roman"/>
          <w:b/>
          <w:bCs/>
          <w:sz w:val="23"/>
          <w:szCs w:val="23"/>
        </w:rPr>
        <w:t>suçun işlendiği tarihte yürürlükte olmayan bir kanunla cezalandırılmaya çalışılmaktadır</w:t>
      </w:r>
      <w:r w:rsidRPr="004335C6">
        <w:rPr>
          <w:rFonts w:eastAsia="MS Mincho" w:cs="Times New Roman"/>
          <w:bCs/>
          <w:sz w:val="23"/>
          <w:szCs w:val="23"/>
        </w:rPr>
        <w:t>.</w:t>
      </w:r>
    </w:p>
    <w:p w:rsidR="00B9380D" w:rsidRPr="006836D5" w:rsidRDefault="00B9380D" w:rsidP="00B9380D">
      <w:pPr>
        <w:rPr>
          <w:rFonts w:cs="Times New Roman"/>
          <w:b/>
          <w:bCs/>
          <w:sz w:val="23"/>
          <w:szCs w:val="23"/>
        </w:rPr>
      </w:pPr>
      <w:r w:rsidRPr="006836D5">
        <w:rPr>
          <w:rFonts w:cs="Times New Roman"/>
          <w:b/>
          <w:bCs/>
          <w:sz w:val="23"/>
          <w:szCs w:val="23"/>
        </w:rPr>
        <w:t>Sözleşmenin 18. Maddesinin İhlali</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bCs/>
          <w:sz w:val="23"/>
          <w:szCs w:val="23"/>
        </w:rPr>
        <w:t>Sözleşme’nin 18. maddesine göre “</w:t>
      </w:r>
      <w:r w:rsidRPr="006836D5">
        <w:rPr>
          <w:rFonts w:cs="Times New Roman"/>
          <w:i/>
          <w:sz w:val="23"/>
          <w:szCs w:val="23"/>
        </w:rPr>
        <w:t>Anılan hak ve özgürlüklere bu Sözleşme hükümleri ile izin verilen kısıtlamalar öngörüldükleri amaç dışında uygulanamaz</w:t>
      </w:r>
      <w:r w:rsidRPr="006836D5">
        <w:rPr>
          <w:rFonts w:cs="Times New Roman"/>
          <w:sz w:val="23"/>
          <w:szCs w:val="23"/>
        </w:rPr>
        <w:t>.”</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sz w:val="23"/>
          <w:szCs w:val="23"/>
        </w:rPr>
        <w:t xml:space="preserve">Bu başvurunun diğer bölümlerinde açıklandığı gibi </w:t>
      </w:r>
      <w:r w:rsidRPr="006836D5">
        <w:rPr>
          <w:rFonts w:cs="Times New Roman"/>
          <w:b/>
          <w:sz w:val="23"/>
          <w:szCs w:val="23"/>
        </w:rPr>
        <w:t xml:space="preserve">başvuru konusu </w:t>
      </w:r>
      <w:r>
        <w:rPr>
          <w:rFonts w:cs="Times New Roman"/>
          <w:b/>
          <w:sz w:val="23"/>
          <w:szCs w:val="23"/>
        </w:rPr>
        <w:t>işlemlerin amacı olağanüstü hale sebep olan olayların önlenmesi veya suçların soruşturulması değildir</w:t>
      </w:r>
      <w:r w:rsidRPr="006836D5">
        <w:rPr>
          <w:rFonts w:cs="Times New Roman"/>
          <w:b/>
          <w:sz w:val="23"/>
          <w:szCs w:val="23"/>
        </w:rPr>
        <w:t xml:space="preserve">. </w:t>
      </w:r>
      <w:r>
        <w:rPr>
          <w:rFonts w:cs="Times New Roman"/>
          <w:sz w:val="23"/>
          <w:szCs w:val="23"/>
        </w:rPr>
        <w:t>Amaç devletin insan hakları ihlallerinin dillendirilmesinin engellenmesidir</w:t>
      </w:r>
      <w:r w:rsidRPr="006836D5">
        <w:rPr>
          <w:rFonts w:cs="Times New Roman"/>
          <w:sz w:val="23"/>
          <w:szCs w:val="23"/>
        </w:rPr>
        <w:t>.</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sz w:val="23"/>
          <w:szCs w:val="23"/>
        </w:rPr>
        <w:t>AİHM içtihadına göre, Sözleşme’nin 18. maddesi, diğer maddelerle birlikte okunmaktadır (</w:t>
      </w:r>
      <w:r w:rsidRPr="006836D5">
        <w:rPr>
          <w:rFonts w:cs="Times New Roman"/>
          <w:i/>
          <w:sz w:val="23"/>
          <w:szCs w:val="23"/>
        </w:rPr>
        <w:t>Gusinskiy/Rusya</w:t>
      </w:r>
      <w:r w:rsidRPr="006836D5">
        <w:rPr>
          <w:rFonts w:cs="Times New Roman"/>
          <w:sz w:val="23"/>
          <w:szCs w:val="23"/>
        </w:rPr>
        <w:t xml:space="preserve">, no. 70276/01, para. 75, ECHR 2004; IV). Sözleşme, tarafların iyi niyeti üzerine kurulu olmakla birlikte, aslında Taraf Devletin “gizli bir ajandası” olabilir ve bu kanıtlanabilir. </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sz w:val="23"/>
          <w:szCs w:val="23"/>
        </w:rPr>
        <w:t>AİHM, yakın tarihli iki Azerbaycan davasında ülkedeki genel durumla, başvurucuların durumu arasında kurduğu ilişki nedeniyle 18. maddenin ihlal edildiğine karar vermiştir. (</w:t>
      </w:r>
      <w:r w:rsidRPr="006836D5">
        <w:rPr>
          <w:rFonts w:cs="Times New Roman"/>
          <w:i/>
          <w:sz w:val="23"/>
          <w:szCs w:val="23"/>
        </w:rPr>
        <w:t>Ilgar Mammadov/Azerbaycan</w:t>
      </w:r>
      <w:r w:rsidRPr="006836D5">
        <w:rPr>
          <w:rFonts w:cs="Times New Roman"/>
          <w:sz w:val="23"/>
          <w:szCs w:val="23"/>
        </w:rPr>
        <w:t xml:space="preserve">, no. 15172/13, 225.2014, para. 141-144; </w:t>
      </w:r>
      <w:r w:rsidRPr="006836D5">
        <w:rPr>
          <w:rFonts w:cs="Times New Roman"/>
          <w:i/>
          <w:sz w:val="23"/>
          <w:szCs w:val="23"/>
        </w:rPr>
        <w:t>Rasul Jafarov/Azerbaycan</w:t>
      </w:r>
      <w:r w:rsidRPr="006836D5">
        <w:rPr>
          <w:rFonts w:cs="Times New Roman"/>
          <w:sz w:val="23"/>
          <w:szCs w:val="23"/>
        </w:rPr>
        <w:t xml:space="preserve">, no. 69981/14, 17.3.2016, para. 153-162). </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sz w:val="23"/>
          <w:szCs w:val="23"/>
        </w:rPr>
        <w:t>İşbu şikayete söz konusu olaylar, Jafarov ve Mammadov’a benzerlik göstermesinin ötesinde daha ağır özellikler taşımaktadır. Olağanüstü Hal’in</w:t>
      </w:r>
      <w:r>
        <w:rPr>
          <w:rFonts w:cs="Times New Roman"/>
          <w:sz w:val="23"/>
          <w:szCs w:val="23"/>
        </w:rPr>
        <w:t xml:space="preserve"> ilanıyla hiç ilgisi olmayan çok sayıda akademisyen OHAL bahane edilerek, devletin insan hakları ihlallerini eleştirdikleri için haklarında soruşturmalar açıl</w:t>
      </w:r>
      <w:r w:rsidR="000F2A1A">
        <w:rPr>
          <w:rFonts w:cs="Times New Roman"/>
          <w:sz w:val="23"/>
          <w:szCs w:val="23"/>
        </w:rPr>
        <w:t>arak</w:t>
      </w:r>
      <w:r>
        <w:rPr>
          <w:rFonts w:cs="Times New Roman"/>
          <w:sz w:val="23"/>
          <w:szCs w:val="23"/>
        </w:rPr>
        <w:t xml:space="preserve"> kamu </w:t>
      </w:r>
      <w:r w:rsidR="000F2A1A">
        <w:rPr>
          <w:rFonts w:cs="Times New Roman"/>
          <w:sz w:val="23"/>
          <w:szCs w:val="23"/>
        </w:rPr>
        <w:t>görevinden</w:t>
      </w:r>
      <w:r>
        <w:rPr>
          <w:rFonts w:cs="Times New Roman"/>
          <w:sz w:val="23"/>
          <w:szCs w:val="23"/>
        </w:rPr>
        <w:t xml:space="preserve"> ihraç edilmiştir. </w:t>
      </w:r>
      <w:r w:rsidRPr="006836D5">
        <w:rPr>
          <w:rFonts w:cs="Times New Roman"/>
          <w:sz w:val="23"/>
          <w:szCs w:val="23"/>
        </w:rPr>
        <w:t>Tüm bunları iyi niyetle açıklamak mümkün değildir ve amaç</w:t>
      </w:r>
      <w:r>
        <w:rPr>
          <w:rFonts w:cs="Times New Roman"/>
          <w:sz w:val="23"/>
          <w:szCs w:val="23"/>
        </w:rPr>
        <w:t>, farklı görüşteki entelektüellerin</w:t>
      </w:r>
      <w:r w:rsidRPr="006836D5">
        <w:rPr>
          <w:rFonts w:cs="Times New Roman"/>
          <w:sz w:val="23"/>
          <w:szCs w:val="23"/>
        </w:rPr>
        <w:t xml:space="preserve"> sözde meşru (pseudo-legitimate) sebeplerle susturulmasıdır.</w:t>
      </w:r>
    </w:p>
    <w:p w:rsidR="00B9380D" w:rsidRPr="006836D5" w:rsidRDefault="00B9380D" w:rsidP="000F2A1A">
      <w:pPr>
        <w:pStyle w:val="ListeParagraf"/>
        <w:numPr>
          <w:ilvl w:val="0"/>
          <w:numId w:val="12"/>
        </w:numPr>
        <w:spacing w:before="0" w:after="0"/>
        <w:ind w:right="0"/>
        <w:rPr>
          <w:rFonts w:cs="Times New Roman"/>
          <w:sz w:val="23"/>
          <w:szCs w:val="23"/>
        </w:rPr>
      </w:pPr>
      <w:r w:rsidRPr="006836D5">
        <w:rPr>
          <w:rFonts w:cs="Times New Roman"/>
          <w:sz w:val="23"/>
          <w:szCs w:val="23"/>
        </w:rPr>
        <w:t xml:space="preserve">Tüm bu açıklamalar ışığında 18. maddenin </w:t>
      </w:r>
      <w:r>
        <w:rPr>
          <w:rFonts w:cs="Times New Roman"/>
          <w:sz w:val="23"/>
          <w:szCs w:val="23"/>
        </w:rPr>
        <w:t>10</w:t>
      </w:r>
      <w:r w:rsidRPr="006836D5">
        <w:rPr>
          <w:rFonts w:cs="Times New Roman"/>
          <w:sz w:val="23"/>
          <w:szCs w:val="23"/>
        </w:rPr>
        <w:t xml:space="preserve">, 6. ve </w:t>
      </w:r>
      <w:r>
        <w:rPr>
          <w:rFonts w:cs="Times New Roman"/>
          <w:sz w:val="23"/>
          <w:szCs w:val="23"/>
        </w:rPr>
        <w:t>8</w:t>
      </w:r>
      <w:r w:rsidRPr="006836D5">
        <w:rPr>
          <w:rFonts w:cs="Times New Roman"/>
          <w:sz w:val="23"/>
          <w:szCs w:val="23"/>
        </w:rPr>
        <w:t xml:space="preserve">. maddelerle birlikte ihlal edildiğine şüphe bulunmamaktadır. </w:t>
      </w:r>
    </w:p>
    <w:p w:rsidR="00B9380D" w:rsidRPr="004335C6" w:rsidRDefault="00B9380D" w:rsidP="000F2A1A">
      <w:pPr>
        <w:pStyle w:val="ListeParagraf"/>
        <w:spacing w:before="0" w:after="0"/>
        <w:ind w:left="360" w:right="113" w:firstLine="0"/>
        <w:rPr>
          <w:rFonts w:eastAsia="MS Mincho" w:cs="Times New Roman"/>
          <w:bCs/>
          <w:sz w:val="23"/>
          <w:szCs w:val="23"/>
        </w:rPr>
      </w:pPr>
    </w:p>
    <w:p w:rsidR="007C4CD7" w:rsidRPr="004335C6" w:rsidRDefault="007C4CD7" w:rsidP="00836466">
      <w:pPr>
        <w:keepNext/>
        <w:keepLines/>
        <w:spacing w:before="240"/>
        <w:ind w:left="113" w:right="113" w:hanging="142"/>
        <w:outlineLvl w:val="0"/>
        <w:rPr>
          <w:rFonts w:eastAsia="MS Gothic" w:cs="Times New Roman"/>
          <w:b/>
          <w:bCs/>
          <w:sz w:val="23"/>
          <w:szCs w:val="23"/>
        </w:rPr>
      </w:pPr>
      <w:r w:rsidRPr="004335C6">
        <w:rPr>
          <w:rFonts w:eastAsia="MS Gothic" w:cs="Times New Roman"/>
          <w:b/>
          <w:bCs/>
          <w:sz w:val="23"/>
          <w:szCs w:val="23"/>
        </w:rPr>
        <w:t>46. Maddenin Uygulanması</w:t>
      </w:r>
    </w:p>
    <w:p w:rsidR="001C02ED" w:rsidRPr="004335C6" w:rsidRDefault="007C4CD7" w:rsidP="00051A2C">
      <w:pPr>
        <w:pStyle w:val="ListeParagraf"/>
        <w:numPr>
          <w:ilvl w:val="0"/>
          <w:numId w:val="12"/>
        </w:numPr>
        <w:spacing w:before="0" w:after="0"/>
        <w:ind w:right="113"/>
        <w:rPr>
          <w:rFonts w:eastAsia="MS Mincho" w:cs="Times New Roman"/>
          <w:bCs/>
          <w:sz w:val="23"/>
          <w:szCs w:val="23"/>
        </w:rPr>
      </w:pPr>
      <w:r w:rsidRPr="004335C6">
        <w:rPr>
          <w:rFonts w:eastAsia="MS Mincho" w:cs="Times New Roman"/>
          <w:bCs/>
          <w:sz w:val="23"/>
          <w:szCs w:val="23"/>
        </w:rPr>
        <w:t xml:space="preserve">AİHM, kararlarının esas itibariyle tespit edici nitelikte olduğunu ve genelde, AİHS’nin 46. maddesi kapsamındaki yükümlülüğünü ifa etmek için iç hukukunda kullanacağı araçları seçmenin, Bakanlar Komitesi’nin denetimine tabi olmak koşuluyla, öncelikle ilgili Devlet’e ait olduğunu belirtmektedir. </w:t>
      </w:r>
    </w:p>
    <w:p w:rsidR="0044721B" w:rsidRPr="000A60CE" w:rsidRDefault="001C02ED" w:rsidP="000F2A1A">
      <w:pPr>
        <w:pStyle w:val="ListeParagraf"/>
        <w:numPr>
          <w:ilvl w:val="0"/>
          <w:numId w:val="12"/>
        </w:numPr>
        <w:spacing w:before="0" w:after="0"/>
        <w:ind w:right="113"/>
      </w:pPr>
      <w:r w:rsidRPr="000F2A1A">
        <w:rPr>
          <w:rFonts w:eastAsia="MS Mincho" w:cs="Times New Roman"/>
          <w:bCs/>
          <w:sz w:val="23"/>
          <w:szCs w:val="23"/>
        </w:rPr>
        <w:t xml:space="preserve">Başvurucu açısından ihlali giderecek tek yol hakkındaki soruşturmaların sonlandırılması ve görevine iade edilmesidir. Bu nedenle, 46. madde uyarınca bu yönde karar alınması gerekir. </w:t>
      </w:r>
    </w:p>
    <w:p w:rsidR="00FA3BA9" w:rsidRPr="000A60CE" w:rsidRDefault="00FA3BA9" w:rsidP="00FA3BA9">
      <w:pPr>
        <w:rPr>
          <w:rFonts w:cs="Times New Roman"/>
          <w:sz w:val="23"/>
          <w:szCs w:val="23"/>
        </w:rPr>
      </w:pPr>
    </w:p>
    <w:sectPr w:rsidR="00FA3BA9" w:rsidRPr="000A60CE" w:rsidSect="00455F7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87" w:rsidRDefault="00FF5087" w:rsidP="003C4B55">
      <w:pPr>
        <w:spacing w:before="0" w:after="0"/>
      </w:pPr>
      <w:r>
        <w:separator/>
      </w:r>
    </w:p>
  </w:endnote>
  <w:endnote w:type="continuationSeparator" w:id="0">
    <w:p w:rsidR="00FF5087" w:rsidRDefault="00FF5087" w:rsidP="003C4B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87" w:rsidRDefault="00FF5087" w:rsidP="003C4B55">
      <w:pPr>
        <w:spacing w:before="0" w:after="0"/>
      </w:pPr>
      <w:r>
        <w:separator/>
      </w:r>
    </w:p>
  </w:footnote>
  <w:footnote w:type="continuationSeparator" w:id="0">
    <w:p w:rsidR="00FF5087" w:rsidRDefault="00FF5087" w:rsidP="003C4B55">
      <w:pPr>
        <w:spacing w:before="0" w:after="0"/>
      </w:pPr>
      <w:r>
        <w:continuationSeparator/>
      </w:r>
    </w:p>
  </w:footnote>
  <w:footnote w:id="1">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w:t>
      </w:r>
      <w:proofErr w:type="spellStart"/>
      <w:r w:rsidRPr="00836466">
        <w:rPr>
          <w:sz w:val="18"/>
          <w:szCs w:val="18"/>
        </w:rPr>
        <w:t>Opinion</w:t>
      </w:r>
      <w:proofErr w:type="spellEnd"/>
      <w:r w:rsidRPr="00836466">
        <w:rPr>
          <w:sz w:val="18"/>
          <w:szCs w:val="18"/>
        </w:rPr>
        <w:t xml:space="preserve"> on </w:t>
      </w:r>
      <w:proofErr w:type="spellStart"/>
      <w:r w:rsidRPr="00836466">
        <w:rPr>
          <w:sz w:val="18"/>
          <w:szCs w:val="18"/>
        </w:rPr>
        <w:t>Emergency</w:t>
      </w:r>
      <w:proofErr w:type="spellEnd"/>
      <w:r w:rsidRPr="00836466">
        <w:rPr>
          <w:sz w:val="18"/>
          <w:szCs w:val="18"/>
        </w:rPr>
        <w:t xml:space="preserve"> </w:t>
      </w:r>
      <w:proofErr w:type="spellStart"/>
      <w:r w:rsidRPr="00836466">
        <w:rPr>
          <w:sz w:val="18"/>
          <w:szCs w:val="18"/>
        </w:rPr>
        <w:t>Decree</w:t>
      </w:r>
      <w:proofErr w:type="spellEnd"/>
      <w:r w:rsidRPr="00836466">
        <w:rPr>
          <w:sz w:val="18"/>
          <w:szCs w:val="18"/>
        </w:rPr>
        <w:t xml:space="preserve"> </w:t>
      </w:r>
      <w:proofErr w:type="spellStart"/>
      <w:r w:rsidRPr="00836466">
        <w:rPr>
          <w:sz w:val="18"/>
          <w:szCs w:val="18"/>
        </w:rPr>
        <w:t>Laws</w:t>
      </w:r>
      <w:proofErr w:type="spellEnd"/>
      <w:r w:rsidRPr="00836466">
        <w:rPr>
          <w:sz w:val="18"/>
          <w:szCs w:val="18"/>
        </w:rPr>
        <w:t xml:space="preserve"> </w:t>
      </w:r>
      <w:proofErr w:type="spellStart"/>
      <w:r w:rsidRPr="00836466">
        <w:rPr>
          <w:sz w:val="18"/>
          <w:szCs w:val="18"/>
        </w:rPr>
        <w:t>Nos</w:t>
      </w:r>
      <w:proofErr w:type="spellEnd"/>
      <w:r w:rsidRPr="00836466">
        <w:rPr>
          <w:sz w:val="18"/>
          <w:szCs w:val="18"/>
        </w:rPr>
        <w:t xml:space="preserve">. 667-676 </w:t>
      </w:r>
      <w:proofErr w:type="spellStart"/>
      <w:r w:rsidRPr="00836466">
        <w:rPr>
          <w:sz w:val="18"/>
          <w:szCs w:val="18"/>
        </w:rPr>
        <w:t>Adopted</w:t>
      </w:r>
      <w:proofErr w:type="spellEnd"/>
      <w:r w:rsidRPr="00836466">
        <w:rPr>
          <w:sz w:val="18"/>
          <w:szCs w:val="18"/>
        </w:rPr>
        <w:t xml:space="preserve"> </w:t>
      </w:r>
      <w:proofErr w:type="spellStart"/>
      <w:r w:rsidRPr="00836466">
        <w:rPr>
          <w:sz w:val="18"/>
          <w:szCs w:val="18"/>
        </w:rPr>
        <w:t>Following</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Failed</w:t>
      </w:r>
      <w:proofErr w:type="spellEnd"/>
      <w:r w:rsidRPr="00836466">
        <w:rPr>
          <w:sz w:val="18"/>
          <w:szCs w:val="18"/>
        </w:rPr>
        <w:t xml:space="preserve"> </w:t>
      </w:r>
      <w:proofErr w:type="spellStart"/>
      <w:r w:rsidRPr="00836466">
        <w:rPr>
          <w:sz w:val="18"/>
          <w:szCs w:val="18"/>
        </w:rPr>
        <w:t>Coup</w:t>
      </w:r>
      <w:proofErr w:type="spellEnd"/>
      <w:r w:rsidRPr="00836466">
        <w:rPr>
          <w:sz w:val="18"/>
          <w:szCs w:val="18"/>
        </w:rPr>
        <w:t xml:space="preserve"> of 15 </w:t>
      </w:r>
      <w:proofErr w:type="spellStart"/>
      <w:r w:rsidRPr="00836466">
        <w:rPr>
          <w:sz w:val="18"/>
          <w:szCs w:val="18"/>
        </w:rPr>
        <w:t>July</w:t>
      </w:r>
      <w:proofErr w:type="spellEnd"/>
      <w:r w:rsidRPr="00836466">
        <w:rPr>
          <w:sz w:val="18"/>
          <w:szCs w:val="18"/>
        </w:rPr>
        <w:t xml:space="preserve"> 2016, CDL-AD(2016)037, para. 200-202. </w:t>
      </w:r>
    </w:p>
  </w:footnote>
  <w:footnote w:id="2">
    <w:p w:rsidR="007611DE" w:rsidRPr="00836466" w:rsidRDefault="007611DE" w:rsidP="00E46036">
      <w:pPr>
        <w:pStyle w:val="FootnoteTextYA"/>
        <w:ind w:left="170" w:right="170"/>
        <w:rPr>
          <w:sz w:val="18"/>
          <w:szCs w:val="18"/>
        </w:rPr>
      </w:pPr>
      <w:r w:rsidRPr="00836466">
        <w:rPr>
          <w:rStyle w:val="DipnotBavurusu"/>
          <w:sz w:val="18"/>
          <w:szCs w:val="18"/>
        </w:rPr>
        <w:footnoteRef/>
      </w:r>
      <w:r w:rsidRPr="00836466">
        <w:rPr>
          <w:sz w:val="18"/>
          <w:szCs w:val="18"/>
        </w:rPr>
        <w:t xml:space="preserve"> </w:t>
      </w:r>
      <w:r w:rsidRPr="00836466">
        <w:rPr>
          <w:sz w:val="18"/>
          <w:szCs w:val="18"/>
        </w:rPr>
        <w:tab/>
      </w:r>
      <w:proofErr w:type="spellStart"/>
      <w:r w:rsidRPr="00836466">
        <w:rPr>
          <w:sz w:val="18"/>
          <w:szCs w:val="18"/>
        </w:rPr>
        <w:t>Taron</w:t>
      </w:r>
      <w:proofErr w:type="spellEnd"/>
      <w:r w:rsidRPr="00836466">
        <w:rPr>
          <w:sz w:val="18"/>
          <w:szCs w:val="18"/>
        </w:rPr>
        <w:t xml:space="preserve">/Almanya, no. 53126/07, 29.05.2012; </w:t>
      </w:r>
      <w:proofErr w:type="spellStart"/>
      <w:r w:rsidRPr="00836466">
        <w:rPr>
          <w:sz w:val="18"/>
          <w:szCs w:val="18"/>
        </w:rPr>
        <w:t>Techniki</w:t>
      </w:r>
      <w:proofErr w:type="spellEnd"/>
      <w:r w:rsidRPr="00836466">
        <w:rPr>
          <w:sz w:val="18"/>
          <w:szCs w:val="18"/>
        </w:rPr>
        <w:t xml:space="preserve"> </w:t>
      </w:r>
      <w:proofErr w:type="spellStart"/>
      <w:r w:rsidRPr="00836466">
        <w:rPr>
          <w:sz w:val="18"/>
          <w:szCs w:val="18"/>
        </w:rPr>
        <w:t>Olympiaki</w:t>
      </w:r>
      <w:proofErr w:type="spellEnd"/>
      <w:r w:rsidRPr="00836466">
        <w:rPr>
          <w:sz w:val="18"/>
          <w:szCs w:val="18"/>
        </w:rPr>
        <w:t xml:space="preserve"> A. E./Yunanistan, no. 40547/10, 01.10.2013; </w:t>
      </w:r>
      <w:proofErr w:type="spellStart"/>
      <w:r w:rsidRPr="00836466">
        <w:rPr>
          <w:sz w:val="18"/>
          <w:szCs w:val="18"/>
        </w:rPr>
        <w:t>Valcheva</w:t>
      </w:r>
      <w:proofErr w:type="spellEnd"/>
      <w:r w:rsidRPr="00836466">
        <w:rPr>
          <w:sz w:val="18"/>
          <w:szCs w:val="18"/>
        </w:rPr>
        <w:t xml:space="preserve"> ve </w:t>
      </w:r>
      <w:proofErr w:type="spellStart"/>
      <w:r w:rsidRPr="00836466">
        <w:rPr>
          <w:sz w:val="18"/>
          <w:szCs w:val="18"/>
        </w:rPr>
        <w:t>Abrashev</w:t>
      </w:r>
      <w:proofErr w:type="spellEnd"/>
      <w:r w:rsidRPr="00836466">
        <w:rPr>
          <w:sz w:val="18"/>
          <w:szCs w:val="18"/>
        </w:rPr>
        <w:t xml:space="preserve">/Bulgaristan, no. 6194/11, 18.6.2013. </w:t>
      </w:r>
    </w:p>
  </w:footnote>
  <w:footnote w:id="3">
    <w:p w:rsidR="007611DE" w:rsidRPr="00836466" w:rsidRDefault="007611DE" w:rsidP="00E46036">
      <w:pPr>
        <w:pStyle w:val="FootnoteTextYA"/>
        <w:ind w:left="170" w:right="170"/>
        <w:rPr>
          <w:sz w:val="18"/>
          <w:szCs w:val="18"/>
        </w:rPr>
      </w:pPr>
      <w:r w:rsidRPr="00836466">
        <w:rPr>
          <w:rStyle w:val="DipnotBavurusu"/>
          <w:sz w:val="18"/>
          <w:szCs w:val="18"/>
        </w:rPr>
        <w:footnoteRef/>
      </w:r>
      <w:r w:rsidRPr="00836466">
        <w:rPr>
          <w:sz w:val="18"/>
          <w:szCs w:val="18"/>
        </w:rPr>
        <w:t xml:space="preserve"> </w:t>
      </w:r>
      <w:r w:rsidRPr="00836466">
        <w:rPr>
          <w:sz w:val="18"/>
          <w:szCs w:val="18"/>
        </w:rPr>
        <w:tab/>
      </w:r>
      <w:proofErr w:type="spellStart"/>
      <w:r w:rsidRPr="00836466">
        <w:rPr>
          <w:iCs/>
          <w:color w:val="313131"/>
          <w:sz w:val="18"/>
          <w:szCs w:val="18"/>
          <w:lang w:val="en-US"/>
        </w:rPr>
        <w:t>Michalak</w:t>
      </w:r>
      <w:proofErr w:type="spellEnd"/>
      <w:r w:rsidRPr="00836466">
        <w:rPr>
          <w:iCs/>
          <w:color w:val="313131"/>
          <w:sz w:val="18"/>
          <w:szCs w:val="18"/>
          <w:lang w:val="en-US"/>
        </w:rPr>
        <w:t>/</w:t>
      </w:r>
      <w:proofErr w:type="spellStart"/>
      <w:r w:rsidRPr="00836466">
        <w:rPr>
          <w:iCs/>
          <w:color w:val="313131"/>
          <w:sz w:val="18"/>
          <w:szCs w:val="18"/>
          <w:lang w:val="en-US"/>
        </w:rPr>
        <w:t>Polonya</w:t>
      </w:r>
      <w:proofErr w:type="spellEnd"/>
      <w:r w:rsidRPr="00836466">
        <w:rPr>
          <w:color w:val="313131"/>
          <w:sz w:val="18"/>
          <w:szCs w:val="18"/>
          <w:lang w:val="en-US"/>
        </w:rPr>
        <w:t xml:space="preserve">, no. </w:t>
      </w:r>
      <w:r w:rsidRPr="00836466">
        <w:rPr>
          <w:sz w:val="18"/>
          <w:szCs w:val="18"/>
          <w:lang w:val="en-US"/>
        </w:rPr>
        <w:t>24549/03</w:t>
      </w:r>
      <w:r w:rsidRPr="00836466">
        <w:rPr>
          <w:color w:val="313131"/>
          <w:sz w:val="18"/>
          <w:szCs w:val="18"/>
          <w:lang w:val="en-US"/>
        </w:rPr>
        <w:t>, 1.3. 2005; Hutten-</w:t>
      </w:r>
      <w:proofErr w:type="spellStart"/>
      <w:r w:rsidRPr="00836466">
        <w:rPr>
          <w:color w:val="313131"/>
          <w:sz w:val="18"/>
          <w:szCs w:val="18"/>
          <w:lang w:val="en-US"/>
        </w:rPr>
        <w:t>Czapska</w:t>
      </w:r>
      <w:proofErr w:type="spellEnd"/>
      <w:r w:rsidRPr="00836466">
        <w:rPr>
          <w:color w:val="313131"/>
          <w:sz w:val="18"/>
          <w:szCs w:val="18"/>
          <w:lang w:val="en-US"/>
        </w:rPr>
        <w:t xml:space="preserve">, no. 35014/97, 19.6.2006; </w:t>
      </w:r>
      <w:proofErr w:type="spellStart"/>
      <w:r w:rsidRPr="00836466">
        <w:rPr>
          <w:color w:val="313131"/>
          <w:sz w:val="18"/>
          <w:szCs w:val="18"/>
          <w:lang w:val="en-US"/>
        </w:rPr>
        <w:t>Zadric</w:t>
      </w:r>
      <w:proofErr w:type="spellEnd"/>
      <w:r w:rsidRPr="00836466">
        <w:rPr>
          <w:color w:val="313131"/>
          <w:sz w:val="18"/>
          <w:szCs w:val="18"/>
          <w:lang w:val="en-US"/>
        </w:rPr>
        <w:t>/</w:t>
      </w:r>
      <w:proofErr w:type="spellStart"/>
      <w:r w:rsidRPr="00836466">
        <w:rPr>
          <w:color w:val="313131"/>
          <w:sz w:val="18"/>
          <w:szCs w:val="18"/>
          <w:lang w:val="en-US"/>
        </w:rPr>
        <w:t>Bosna</w:t>
      </w:r>
      <w:proofErr w:type="spellEnd"/>
      <w:r w:rsidRPr="00836466">
        <w:rPr>
          <w:color w:val="313131"/>
          <w:sz w:val="18"/>
          <w:szCs w:val="18"/>
          <w:lang w:val="en-US"/>
        </w:rPr>
        <w:t xml:space="preserve"> </w:t>
      </w:r>
      <w:proofErr w:type="spellStart"/>
      <w:r w:rsidRPr="00836466">
        <w:rPr>
          <w:color w:val="313131"/>
          <w:sz w:val="18"/>
          <w:szCs w:val="18"/>
          <w:lang w:val="en-US"/>
        </w:rPr>
        <w:t>ve</w:t>
      </w:r>
      <w:proofErr w:type="spellEnd"/>
      <w:r w:rsidRPr="00836466">
        <w:rPr>
          <w:color w:val="313131"/>
          <w:sz w:val="18"/>
          <w:szCs w:val="18"/>
          <w:lang w:val="en-US"/>
        </w:rPr>
        <w:t xml:space="preserve"> </w:t>
      </w:r>
      <w:proofErr w:type="spellStart"/>
      <w:r w:rsidRPr="00836466">
        <w:rPr>
          <w:color w:val="313131"/>
          <w:sz w:val="18"/>
          <w:szCs w:val="18"/>
          <w:lang w:val="en-US"/>
        </w:rPr>
        <w:t>Hersek</w:t>
      </w:r>
      <w:proofErr w:type="spellEnd"/>
      <w:r w:rsidRPr="00836466">
        <w:rPr>
          <w:color w:val="313131"/>
          <w:sz w:val="18"/>
          <w:szCs w:val="18"/>
          <w:lang w:val="en-US"/>
        </w:rPr>
        <w:t xml:space="preserve">, no. 18804/04, 16.11.2010; </w:t>
      </w:r>
      <w:proofErr w:type="spellStart"/>
      <w:r w:rsidRPr="00836466">
        <w:rPr>
          <w:color w:val="313131"/>
          <w:sz w:val="18"/>
          <w:szCs w:val="18"/>
          <w:lang w:val="en-US"/>
        </w:rPr>
        <w:t>Preda</w:t>
      </w:r>
      <w:proofErr w:type="spellEnd"/>
      <w:r w:rsidRPr="00836466">
        <w:rPr>
          <w:color w:val="313131"/>
          <w:sz w:val="18"/>
          <w:szCs w:val="18"/>
          <w:lang w:val="en-US"/>
        </w:rPr>
        <w:t xml:space="preserve"> </w:t>
      </w:r>
      <w:proofErr w:type="spellStart"/>
      <w:r w:rsidRPr="00836466">
        <w:rPr>
          <w:color w:val="313131"/>
          <w:sz w:val="18"/>
          <w:szCs w:val="18"/>
          <w:lang w:val="en-US"/>
        </w:rPr>
        <w:t>ve</w:t>
      </w:r>
      <w:proofErr w:type="spellEnd"/>
      <w:r w:rsidRPr="00836466">
        <w:rPr>
          <w:color w:val="313131"/>
          <w:sz w:val="18"/>
          <w:szCs w:val="18"/>
          <w:lang w:val="en-US"/>
        </w:rPr>
        <w:t xml:space="preserve"> </w:t>
      </w:r>
      <w:proofErr w:type="spellStart"/>
      <w:r w:rsidRPr="00836466">
        <w:rPr>
          <w:color w:val="313131"/>
          <w:sz w:val="18"/>
          <w:szCs w:val="18"/>
          <w:lang w:val="en-US"/>
        </w:rPr>
        <w:t>Diğerleri</w:t>
      </w:r>
      <w:proofErr w:type="spellEnd"/>
      <w:r w:rsidRPr="00836466">
        <w:rPr>
          <w:color w:val="313131"/>
          <w:sz w:val="18"/>
          <w:szCs w:val="18"/>
          <w:lang w:val="en-US"/>
        </w:rPr>
        <w:t>/</w:t>
      </w:r>
      <w:proofErr w:type="spellStart"/>
      <w:r w:rsidRPr="00836466">
        <w:rPr>
          <w:color w:val="313131"/>
          <w:sz w:val="18"/>
          <w:szCs w:val="18"/>
          <w:lang w:val="en-US"/>
        </w:rPr>
        <w:t>Romanya</w:t>
      </w:r>
      <w:proofErr w:type="spellEnd"/>
      <w:r w:rsidRPr="00836466">
        <w:rPr>
          <w:color w:val="313131"/>
          <w:sz w:val="18"/>
          <w:szCs w:val="18"/>
          <w:lang w:val="en-US"/>
        </w:rPr>
        <w:t xml:space="preserve">, no. 9584/02, 29.4.2014. </w:t>
      </w:r>
    </w:p>
  </w:footnote>
  <w:footnote w:id="4">
    <w:p w:rsidR="007611DE" w:rsidRPr="00836466" w:rsidRDefault="007611DE" w:rsidP="00E46036">
      <w:pPr>
        <w:pStyle w:val="FootnoteTextYA"/>
        <w:ind w:left="170" w:right="170"/>
        <w:rPr>
          <w:sz w:val="18"/>
          <w:szCs w:val="18"/>
        </w:rPr>
      </w:pPr>
      <w:r w:rsidRPr="00836466">
        <w:rPr>
          <w:rStyle w:val="DipnotBavurusu"/>
          <w:sz w:val="18"/>
          <w:szCs w:val="18"/>
        </w:rPr>
        <w:footnoteRef/>
      </w:r>
      <w:r w:rsidRPr="00836466">
        <w:rPr>
          <w:sz w:val="18"/>
          <w:szCs w:val="18"/>
        </w:rPr>
        <w:t xml:space="preserve"> </w:t>
      </w:r>
      <w:r w:rsidRPr="00836466">
        <w:rPr>
          <w:sz w:val="18"/>
          <w:szCs w:val="18"/>
        </w:rPr>
        <w:tab/>
      </w:r>
      <w:proofErr w:type="spellStart"/>
      <w:r w:rsidRPr="00836466">
        <w:rPr>
          <w:sz w:val="18"/>
          <w:szCs w:val="18"/>
        </w:rPr>
        <w:t>Nagovitsyn</w:t>
      </w:r>
      <w:proofErr w:type="spellEnd"/>
      <w:r w:rsidRPr="00836466">
        <w:rPr>
          <w:sz w:val="18"/>
          <w:szCs w:val="18"/>
        </w:rPr>
        <w:t xml:space="preserve"> ve </w:t>
      </w:r>
      <w:proofErr w:type="spellStart"/>
      <w:r w:rsidRPr="00836466">
        <w:rPr>
          <w:sz w:val="18"/>
          <w:szCs w:val="18"/>
        </w:rPr>
        <w:t>Nalgiyev</w:t>
      </w:r>
      <w:proofErr w:type="spellEnd"/>
      <w:r w:rsidRPr="00836466">
        <w:rPr>
          <w:sz w:val="18"/>
          <w:szCs w:val="18"/>
        </w:rPr>
        <w:t xml:space="preserve">/Rusya, no. 27451/09, 23.9.2010 (bununla birlikte, AİHM daha sonra Rusya’da etkili hukuk yolu olmadığı sonucuna ulaşmıştır. </w:t>
      </w:r>
      <w:proofErr w:type="spellStart"/>
      <w:r w:rsidRPr="00836466">
        <w:rPr>
          <w:sz w:val="18"/>
          <w:szCs w:val="18"/>
        </w:rPr>
        <w:t>Kalinkin</w:t>
      </w:r>
      <w:proofErr w:type="spellEnd"/>
      <w:r w:rsidRPr="00836466">
        <w:rPr>
          <w:sz w:val="18"/>
          <w:szCs w:val="18"/>
        </w:rPr>
        <w:t xml:space="preserve"> ve Diğerleri/Rusya, no. 16967/10, 17.4.2012). </w:t>
      </w:r>
    </w:p>
  </w:footnote>
  <w:footnote w:id="5">
    <w:p w:rsidR="007611DE" w:rsidRPr="00836466" w:rsidRDefault="007611DE" w:rsidP="00E46036">
      <w:pPr>
        <w:pStyle w:val="FootnoteTextYA"/>
        <w:ind w:left="170" w:right="170"/>
        <w:rPr>
          <w:sz w:val="18"/>
          <w:szCs w:val="18"/>
        </w:rPr>
      </w:pPr>
      <w:r w:rsidRPr="00836466">
        <w:rPr>
          <w:rStyle w:val="DipnotBavurusu"/>
          <w:sz w:val="18"/>
          <w:szCs w:val="18"/>
        </w:rPr>
        <w:footnoteRef/>
      </w:r>
      <w:r w:rsidRPr="00836466">
        <w:rPr>
          <w:sz w:val="18"/>
          <w:szCs w:val="18"/>
        </w:rPr>
        <w:t xml:space="preserve"> </w:t>
      </w:r>
      <w:r w:rsidRPr="00836466">
        <w:rPr>
          <w:sz w:val="18"/>
          <w:szCs w:val="18"/>
        </w:rPr>
        <w:tab/>
      </w:r>
      <w:proofErr w:type="spellStart"/>
      <w:r w:rsidRPr="00836466">
        <w:rPr>
          <w:sz w:val="18"/>
          <w:szCs w:val="18"/>
        </w:rPr>
        <w:t>Stella</w:t>
      </w:r>
      <w:proofErr w:type="spellEnd"/>
      <w:r w:rsidRPr="00836466">
        <w:rPr>
          <w:sz w:val="18"/>
          <w:szCs w:val="18"/>
        </w:rPr>
        <w:t xml:space="preserve"> ve Diğerleri/İtalya, no. 49169/09, 16.9.2014.</w:t>
      </w:r>
    </w:p>
  </w:footnote>
  <w:footnote w:id="6">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Coeme</w:t>
      </w:r>
      <w:proofErr w:type="spellEnd"/>
      <w:r w:rsidRPr="00836466">
        <w:rPr>
          <w:sz w:val="18"/>
          <w:szCs w:val="18"/>
        </w:rPr>
        <w:t>/Belçika, no. 32492/96, 22.6.2000, para. 102.</w:t>
      </w:r>
    </w:p>
  </w:footnote>
  <w:footnote w:id="7">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 xml:space="preserve"> </w:t>
      </w:r>
      <w:r w:rsidRPr="00836466">
        <w:rPr>
          <w:sz w:val="18"/>
          <w:szCs w:val="18"/>
        </w:rPr>
        <w:tab/>
      </w:r>
      <w:proofErr w:type="spellStart"/>
      <w:r w:rsidRPr="00836466">
        <w:rPr>
          <w:sz w:val="18"/>
          <w:szCs w:val="18"/>
        </w:rPr>
        <w:t>Ruiz</w:t>
      </w:r>
      <w:proofErr w:type="spellEnd"/>
      <w:r w:rsidRPr="00836466">
        <w:rPr>
          <w:sz w:val="18"/>
          <w:szCs w:val="18"/>
        </w:rPr>
        <w:t xml:space="preserve"> </w:t>
      </w:r>
      <w:proofErr w:type="spellStart"/>
      <w:r w:rsidRPr="00836466">
        <w:rPr>
          <w:sz w:val="18"/>
          <w:szCs w:val="18"/>
        </w:rPr>
        <w:t>Mateos</w:t>
      </w:r>
      <w:proofErr w:type="spellEnd"/>
      <w:r w:rsidRPr="00836466">
        <w:rPr>
          <w:sz w:val="18"/>
          <w:szCs w:val="18"/>
        </w:rPr>
        <w:t>/İspanya, no. 12952/87, 23.6.1993, para. 63</w:t>
      </w:r>
    </w:p>
  </w:footnote>
  <w:footnote w:id="8">
    <w:p w:rsidR="007611DE" w:rsidRPr="00836466" w:rsidRDefault="007611DE" w:rsidP="00836466">
      <w:pPr>
        <w:spacing w:before="0" w:after="0"/>
        <w:ind w:left="170" w:right="170"/>
        <w:rPr>
          <w:bCs/>
          <w:sz w:val="18"/>
          <w:szCs w:val="18"/>
        </w:rPr>
      </w:pPr>
      <w:r w:rsidRPr="00836466">
        <w:rPr>
          <w:rStyle w:val="DipnotBavurusu"/>
          <w:sz w:val="18"/>
          <w:szCs w:val="18"/>
        </w:rPr>
        <w:footnoteRef/>
      </w:r>
      <w:r w:rsidRPr="00836466">
        <w:rPr>
          <w:sz w:val="18"/>
          <w:szCs w:val="18"/>
        </w:rPr>
        <w:t xml:space="preserve"> Akademisyenler </w:t>
      </w:r>
      <w:r w:rsidRPr="00836466">
        <w:rPr>
          <w:bCs/>
          <w:sz w:val="18"/>
          <w:szCs w:val="18"/>
        </w:rPr>
        <w:t>Esra Mungan, Muzaffer Kaya ve Kıvanç Ersoy ve Meral Camcı tüm imzacılar adına, “Bu Suça Ortak Olmayacağız” metninin arkasında durduklarını söyledikleri için tutuklanmış ve haklarında Terörle Mücadele Kanunu’nun (TMK) 7/2 maddesinde yer alan “terör propagandası yapmak” suçundan iddianame hazırlanmıştır.</w:t>
      </w:r>
    </w:p>
  </w:footnote>
  <w:footnote w:id="9">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rStyle w:val="sb8d990e2"/>
          <w:i/>
          <w:sz w:val="18"/>
          <w:szCs w:val="18"/>
          <w:shd w:val="clear" w:color="auto" w:fill="FFFFFF"/>
        </w:rPr>
        <w:t>Erdoğdu</w:t>
      </w:r>
      <w:proofErr w:type="spellEnd"/>
      <w:r w:rsidRPr="00836466">
        <w:rPr>
          <w:rStyle w:val="sb8d990e2"/>
          <w:i/>
          <w:sz w:val="18"/>
          <w:szCs w:val="18"/>
          <w:shd w:val="clear" w:color="auto" w:fill="FFFFFF"/>
        </w:rPr>
        <w:t xml:space="preserve"> ve İnce/Türkiye</w:t>
      </w:r>
      <w:r w:rsidRPr="00836466">
        <w:rPr>
          <w:rStyle w:val="sb8d990e2"/>
          <w:sz w:val="18"/>
          <w:szCs w:val="18"/>
          <w:shd w:val="clear" w:color="auto" w:fill="FFFFFF"/>
        </w:rPr>
        <w:t xml:space="preserve">, no. 25067/94, 8.7.1999, para. 50; </w:t>
      </w:r>
      <w:r w:rsidRPr="00836466">
        <w:rPr>
          <w:i/>
          <w:sz w:val="18"/>
          <w:szCs w:val="18"/>
        </w:rPr>
        <w:t xml:space="preserve">Başkaya ve </w:t>
      </w:r>
      <w:proofErr w:type="spellStart"/>
      <w:r w:rsidRPr="00836466">
        <w:rPr>
          <w:i/>
          <w:sz w:val="18"/>
          <w:szCs w:val="18"/>
        </w:rPr>
        <w:t>Okçuoğlu</w:t>
      </w:r>
      <w:proofErr w:type="spellEnd"/>
      <w:r w:rsidRPr="00836466">
        <w:rPr>
          <w:i/>
          <w:sz w:val="18"/>
          <w:szCs w:val="18"/>
        </w:rPr>
        <w:t>/Türkiye,</w:t>
      </w:r>
      <w:r w:rsidRPr="00836466">
        <w:rPr>
          <w:sz w:val="18"/>
          <w:szCs w:val="18"/>
        </w:rPr>
        <w:t xml:space="preserve"> no. 23536/94, 08.7.1999</w:t>
      </w:r>
      <w:r w:rsidRPr="00836466">
        <w:rPr>
          <w:rStyle w:val="sb8d990e2"/>
          <w:sz w:val="18"/>
          <w:szCs w:val="18"/>
          <w:shd w:val="clear" w:color="auto" w:fill="FFFFFF"/>
        </w:rPr>
        <w:t xml:space="preserve">, para. 62; </w:t>
      </w:r>
      <w:r w:rsidRPr="00836466">
        <w:rPr>
          <w:i/>
          <w:sz w:val="18"/>
          <w:szCs w:val="18"/>
        </w:rPr>
        <w:t>Sürek/Türkiye (no. 4)</w:t>
      </w:r>
      <w:r w:rsidRPr="00836466">
        <w:rPr>
          <w:sz w:val="18"/>
          <w:szCs w:val="18"/>
        </w:rPr>
        <w:t xml:space="preserve">, no. 24762/94, 08.71999, </w:t>
      </w:r>
      <w:r w:rsidRPr="00836466">
        <w:rPr>
          <w:rStyle w:val="sb8d990e2"/>
          <w:sz w:val="18"/>
          <w:szCs w:val="18"/>
          <w:shd w:val="clear" w:color="auto" w:fill="FFFFFF"/>
        </w:rPr>
        <w:t xml:space="preserve">para. 57; </w:t>
      </w:r>
      <w:r w:rsidRPr="00836466">
        <w:rPr>
          <w:i/>
          <w:sz w:val="18"/>
          <w:szCs w:val="18"/>
        </w:rPr>
        <w:t>Sürek/Türkiye (no.2),</w:t>
      </w:r>
      <w:r w:rsidRPr="00836466">
        <w:rPr>
          <w:sz w:val="18"/>
          <w:szCs w:val="18"/>
        </w:rPr>
        <w:t xml:space="preserve"> no. 24122/94, 8.7.1999</w:t>
      </w:r>
      <w:r w:rsidRPr="00836466">
        <w:rPr>
          <w:rStyle w:val="sb8d990e2"/>
          <w:sz w:val="18"/>
          <w:szCs w:val="18"/>
          <w:shd w:val="clear" w:color="auto" w:fill="FFFFFF"/>
        </w:rPr>
        <w:t xml:space="preserve">, para. 34; </w:t>
      </w:r>
      <w:r w:rsidRPr="00836466">
        <w:rPr>
          <w:rStyle w:val="sb8d990e2"/>
          <w:i/>
          <w:sz w:val="18"/>
          <w:szCs w:val="18"/>
          <w:shd w:val="clear" w:color="auto" w:fill="FFFFFF"/>
        </w:rPr>
        <w:t>Yalçın Küçük/Türkiye</w:t>
      </w:r>
      <w:r w:rsidRPr="00836466">
        <w:rPr>
          <w:rStyle w:val="sb8d990e2"/>
          <w:sz w:val="18"/>
          <w:szCs w:val="18"/>
          <w:shd w:val="clear" w:color="auto" w:fill="FFFFFF"/>
        </w:rPr>
        <w:t xml:space="preserve">, no. 28493/95, 5.12.2002, para. 38). </w:t>
      </w:r>
      <w:proofErr w:type="spellStart"/>
      <w:r w:rsidRPr="00836466">
        <w:rPr>
          <w:i/>
          <w:sz w:val="18"/>
          <w:szCs w:val="18"/>
        </w:rPr>
        <w:t>Erdoğdu</w:t>
      </w:r>
      <w:proofErr w:type="spellEnd"/>
      <w:r w:rsidRPr="00836466">
        <w:rPr>
          <w:i/>
          <w:sz w:val="18"/>
          <w:szCs w:val="18"/>
        </w:rPr>
        <w:t>/Türkiye</w:t>
      </w:r>
      <w:r w:rsidRPr="00836466">
        <w:rPr>
          <w:sz w:val="18"/>
          <w:szCs w:val="18"/>
        </w:rPr>
        <w:t>, no. 25723/94, 15.6.2000,</w:t>
      </w:r>
      <w:r w:rsidRPr="00836466">
        <w:rPr>
          <w:rStyle w:val="sb8d990e2"/>
          <w:sz w:val="18"/>
          <w:szCs w:val="18"/>
          <w:shd w:val="clear" w:color="auto" w:fill="FFFFFF"/>
        </w:rPr>
        <w:t xml:space="preserve"> para. 61-62.</w:t>
      </w:r>
    </w:p>
  </w:footnote>
  <w:footnote w:id="10">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Erdoğdu</w:t>
      </w:r>
      <w:proofErr w:type="spellEnd"/>
      <w:r w:rsidRPr="00836466">
        <w:rPr>
          <w:sz w:val="18"/>
          <w:szCs w:val="18"/>
        </w:rPr>
        <w:t xml:space="preserve"> ve İnce, para. 51.</w:t>
      </w:r>
    </w:p>
  </w:footnote>
  <w:footnote w:id="11">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Başkaya ve </w:t>
      </w:r>
      <w:proofErr w:type="spellStart"/>
      <w:r w:rsidRPr="00836466">
        <w:rPr>
          <w:sz w:val="18"/>
          <w:szCs w:val="18"/>
        </w:rPr>
        <w:t>Okçuoğlu</w:t>
      </w:r>
      <w:proofErr w:type="spellEnd"/>
      <w:r w:rsidRPr="00836466">
        <w:rPr>
          <w:sz w:val="18"/>
          <w:szCs w:val="18"/>
        </w:rPr>
        <w:t>/Türkiye, no. 23536/94, 08.7.1999, para. 65. Karataş/Türkiye, no. 23168/94, 8.7.1999</w:t>
      </w:r>
    </w:p>
  </w:footnote>
  <w:footnote w:id="12">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Başkaya ve </w:t>
      </w:r>
      <w:proofErr w:type="spellStart"/>
      <w:r w:rsidRPr="00836466">
        <w:rPr>
          <w:sz w:val="18"/>
          <w:szCs w:val="18"/>
        </w:rPr>
        <w:t>Okçuoğlu</w:t>
      </w:r>
      <w:proofErr w:type="spellEnd"/>
      <w:r w:rsidRPr="00836466">
        <w:rPr>
          <w:sz w:val="18"/>
          <w:szCs w:val="18"/>
        </w:rPr>
        <w:t>, para. 64.</w:t>
      </w:r>
    </w:p>
  </w:footnote>
  <w:footnote w:id="13">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Sürek (no. 4), para. 56</w:t>
      </w:r>
    </w:p>
  </w:footnote>
  <w:footnote w:id="14">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Erdoğdu</w:t>
      </w:r>
      <w:proofErr w:type="spellEnd"/>
      <w:r w:rsidRPr="00836466">
        <w:rPr>
          <w:sz w:val="18"/>
          <w:szCs w:val="18"/>
        </w:rPr>
        <w:t xml:space="preserve">, para. 62. </w:t>
      </w:r>
    </w:p>
  </w:footnote>
  <w:footnote w:id="15">
    <w:p w:rsidR="007611DE" w:rsidRPr="00836466" w:rsidRDefault="007611DE" w:rsidP="00836466">
      <w:pPr>
        <w:pStyle w:val="FootnoteTextYA"/>
        <w:ind w:left="170" w:right="170"/>
        <w:rPr>
          <w:b/>
          <w:sz w:val="18"/>
          <w:szCs w:val="18"/>
        </w:rPr>
      </w:pPr>
      <w:r w:rsidRPr="00836466">
        <w:rPr>
          <w:rStyle w:val="DipnotBavurusu"/>
          <w:sz w:val="18"/>
          <w:szCs w:val="18"/>
        </w:rPr>
        <w:footnoteRef/>
      </w:r>
      <w:r w:rsidRPr="00836466">
        <w:rPr>
          <w:sz w:val="18"/>
          <w:szCs w:val="18"/>
        </w:rPr>
        <w:tab/>
        <w:t>Şener/Türkiye, no. 26680/95, 18.7.2000, para. 44</w:t>
      </w:r>
    </w:p>
  </w:footnote>
  <w:footnote w:id="16">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Karkın</w:t>
      </w:r>
      <w:proofErr w:type="spellEnd"/>
      <w:r w:rsidRPr="00836466">
        <w:rPr>
          <w:sz w:val="18"/>
          <w:szCs w:val="18"/>
        </w:rPr>
        <w:t>/Türkiye, no. 43928/98, 23.9.2003.</w:t>
      </w:r>
    </w:p>
  </w:footnote>
  <w:footnote w:id="17">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r w:rsidRPr="00836466">
        <w:rPr>
          <w:i/>
          <w:sz w:val="18"/>
          <w:szCs w:val="18"/>
        </w:rPr>
        <w:t>Yavuz ve Yaylalı/Türkiye</w:t>
      </w:r>
      <w:r w:rsidRPr="00836466">
        <w:rPr>
          <w:sz w:val="18"/>
          <w:szCs w:val="18"/>
        </w:rPr>
        <w:t xml:space="preserve">, </w:t>
      </w:r>
      <w:r w:rsidRPr="00836466">
        <w:rPr>
          <w:iCs/>
          <w:sz w:val="18"/>
          <w:szCs w:val="18"/>
        </w:rPr>
        <w:t>para 54.</w:t>
      </w:r>
    </w:p>
  </w:footnote>
  <w:footnote w:id="18">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Sürek/Türkiye, no. 1, Büyük Daire, no 26682/95, </w:t>
      </w:r>
      <w:proofErr w:type="spellStart"/>
      <w:r w:rsidRPr="00836466">
        <w:rPr>
          <w:sz w:val="18"/>
          <w:szCs w:val="18"/>
        </w:rPr>
        <w:t>Gözel</w:t>
      </w:r>
      <w:proofErr w:type="spellEnd"/>
      <w:r w:rsidRPr="00836466">
        <w:rPr>
          <w:sz w:val="18"/>
          <w:szCs w:val="18"/>
        </w:rPr>
        <w:t xml:space="preserve"> ve Özer/Türkiye, no: 43453/04 ve 31098/05, Faruk Temel/Türkiye, no: 16853/05, 01.02.2011, Öner ve Türk/Türkiye, no: 51962/12, 31.03.2015, Gül ve Diğerleri/Türkiye, 08.06.2010, no:4870/02, para.41-45.  </w:t>
      </w:r>
    </w:p>
  </w:footnote>
  <w:footnote w:id="19">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Gül ve Diğerleri/Türkiye, no. 4870/02, 08.06.2010, para. 41. Aynı yönde Kılıç ve Eren/Türkiye, no. 43807/07, 29.11.2011, para. 28. </w:t>
      </w:r>
    </w:p>
  </w:footnote>
  <w:footnote w:id="20">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Yağmurdereli</w:t>
      </w:r>
      <w:proofErr w:type="spellEnd"/>
      <w:r w:rsidRPr="00836466">
        <w:rPr>
          <w:sz w:val="18"/>
          <w:szCs w:val="18"/>
        </w:rPr>
        <w:t>, para. 54.</w:t>
      </w:r>
    </w:p>
  </w:footnote>
  <w:footnote w:id="21">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Phillips</w:t>
      </w:r>
      <w:proofErr w:type="spellEnd"/>
      <w:r w:rsidRPr="00836466">
        <w:rPr>
          <w:sz w:val="18"/>
          <w:szCs w:val="18"/>
        </w:rPr>
        <w:t>/Birleşik Krallık, no. 41087/98, para. 31,</w:t>
      </w:r>
      <w:r w:rsidRPr="00836466">
        <w:rPr>
          <w:rStyle w:val="ju-005fpara--char"/>
          <w:sz w:val="18"/>
          <w:szCs w:val="18"/>
        </w:rPr>
        <w:t xml:space="preserve"> </w:t>
      </w:r>
      <w:proofErr w:type="spellStart"/>
      <w:r w:rsidRPr="00836466">
        <w:rPr>
          <w:rStyle w:val="ju-005fpara--char"/>
          <w:sz w:val="18"/>
          <w:szCs w:val="18"/>
        </w:rPr>
        <w:t>Garyfallou</w:t>
      </w:r>
      <w:proofErr w:type="spellEnd"/>
      <w:r w:rsidRPr="00836466">
        <w:rPr>
          <w:rStyle w:val="ju-005fpara--char"/>
          <w:sz w:val="18"/>
          <w:szCs w:val="18"/>
        </w:rPr>
        <w:t xml:space="preserve"> AEBE/Yunanistan, 24.9. 1997, </w:t>
      </w:r>
      <w:proofErr w:type="spellStart"/>
      <w:r w:rsidRPr="00836466">
        <w:rPr>
          <w:rStyle w:val="ju-005fpara--char"/>
          <w:sz w:val="18"/>
          <w:szCs w:val="18"/>
        </w:rPr>
        <w:t>Reports</w:t>
      </w:r>
      <w:proofErr w:type="spellEnd"/>
      <w:r w:rsidRPr="00836466">
        <w:rPr>
          <w:rStyle w:val="ju-005fpara--char"/>
          <w:sz w:val="18"/>
          <w:szCs w:val="18"/>
        </w:rPr>
        <w:t xml:space="preserve"> of </w:t>
      </w:r>
      <w:proofErr w:type="spellStart"/>
      <w:r w:rsidRPr="00836466">
        <w:rPr>
          <w:rStyle w:val="ju-005fpara--char"/>
          <w:sz w:val="18"/>
          <w:szCs w:val="18"/>
        </w:rPr>
        <w:t>Judgments</w:t>
      </w:r>
      <w:proofErr w:type="spellEnd"/>
      <w:r w:rsidRPr="00836466">
        <w:rPr>
          <w:rStyle w:val="ju-005fpara--char"/>
          <w:sz w:val="18"/>
          <w:szCs w:val="18"/>
        </w:rPr>
        <w:t xml:space="preserve"> </w:t>
      </w:r>
      <w:proofErr w:type="spellStart"/>
      <w:r w:rsidRPr="00836466">
        <w:rPr>
          <w:rStyle w:val="ju-005fpara--char"/>
          <w:sz w:val="18"/>
          <w:szCs w:val="18"/>
        </w:rPr>
        <w:t>and</w:t>
      </w:r>
      <w:proofErr w:type="spellEnd"/>
      <w:r w:rsidRPr="00836466">
        <w:rPr>
          <w:rStyle w:val="ju-005fpara--char"/>
          <w:sz w:val="18"/>
          <w:szCs w:val="18"/>
        </w:rPr>
        <w:t xml:space="preserve"> </w:t>
      </w:r>
      <w:proofErr w:type="spellStart"/>
      <w:r w:rsidRPr="00836466">
        <w:rPr>
          <w:rStyle w:val="ju-005fpara--char"/>
          <w:sz w:val="18"/>
          <w:szCs w:val="18"/>
        </w:rPr>
        <w:t>Decisions</w:t>
      </w:r>
      <w:proofErr w:type="spellEnd"/>
      <w:r w:rsidRPr="00836466">
        <w:rPr>
          <w:rStyle w:val="ju-005fpara--char"/>
          <w:sz w:val="18"/>
          <w:szCs w:val="18"/>
        </w:rPr>
        <w:t xml:space="preserve"> 1997-V, para. 32. </w:t>
      </w:r>
    </w:p>
  </w:footnote>
  <w:footnote w:id="22">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rStyle w:val="ju-005fpara--char"/>
          <w:iCs/>
          <w:sz w:val="18"/>
          <w:szCs w:val="18"/>
        </w:rPr>
        <w:t>Lutz</w:t>
      </w:r>
      <w:proofErr w:type="spellEnd"/>
      <w:r w:rsidRPr="00836466">
        <w:rPr>
          <w:rStyle w:val="ju-005fpara--char"/>
          <w:iCs/>
          <w:sz w:val="18"/>
          <w:szCs w:val="18"/>
        </w:rPr>
        <w:t>/Almanya</w:t>
      </w:r>
      <w:r w:rsidRPr="00836466">
        <w:rPr>
          <w:sz w:val="18"/>
          <w:szCs w:val="18"/>
        </w:rPr>
        <w:t>, 25.8. 1987, para. 55</w:t>
      </w:r>
    </w:p>
  </w:footnote>
  <w:footnote w:id="23">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rStyle w:val="ju-005fpara--char"/>
          <w:iCs/>
          <w:sz w:val="18"/>
          <w:szCs w:val="18"/>
        </w:rPr>
        <w:t>Bendenoun</w:t>
      </w:r>
      <w:proofErr w:type="spellEnd"/>
      <w:r w:rsidRPr="00836466">
        <w:rPr>
          <w:rStyle w:val="ju-005fpara--char"/>
          <w:iCs/>
          <w:sz w:val="18"/>
          <w:szCs w:val="18"/>
        </w:rPr>
        <w:t>/Fransa</w:t>
      </w:r>
      <w:r w:rsidRPr="00836466">
        <w:rPr>
          <w:sz w:val="18"/>
          <w:szCs w:val="18"/>
        </w:rPr>
        <w:t xml:space="preserve">, 24.2. 1994, </w:t>
      </w:r>
      <w:proofErr w:type="spellStart"/>
      <w:r w:rsidRPr="00836466">
        <w:rPr>
          <w:sz w:val="18"/>
          <w:szCs w:val="18"/>
        </w:rPr>
        <w:t>Series</w:t>
      </w:r>
      <w:proofErr w:type="spellEnd"/>
      <w:r w:rsidRPr="00836466">
        <w:rPr>
          <w:sz w:val="18"/>
          <w:szCs w:val="18"/>
        </w:rPr>
        <w:t xml:space="preserve"> A no. 284, para. 47. </w:t>
      </w:r>
    </w:p>
  </w:footnote>
  <w:footnote w:id="24">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Sidabras</w:t>
      </w:r>
      <w:proofErr w:type="spellEnd"/>
      <w:r w:rsidRPr="00836466">
        <w:rPr>
          <w:sz w:val="18"/>
          <w:szCs w:val="18"/>
        </w:rPr>
        <w:t xml:space="preserve"> ve </w:t>
      </w:r>
      <w:proofErr w:type="spellStart"/>
      <w:r w:rsidRPr="00836466">
        <w:rPr>
          <w:sz w:val="18"/>
          <w:szCs w:val="18"/>
        </w:rPr>
        <w:t>Džiautas</w:t>
      </w:r>
      <w:proofErr w:type="spellEnd"/>
      <w:r w:rsidRPr="00836466">
        <w:rPr>
          <w:sz w:val="18"/>
          <w:szCs w:val="18"/>
        </w:rPr>
        <w:t>/</w:t>
      </w:r>
      <w:proofErr w:type="spellStart"/>
      <w:r w:rsidRPr="00836466">
        <w:rPr>
          <w:sz w:val="18"/>
          <w:szCs w:val="18"/>
        </w:rPr>
        <w:t>Litvanya</w:t>
      </w:r>
      <w:proofErr w:type="spellEnd"/>
      <w:r w:rsidRPr="00836466">
        <w:rPr>
          <w:sz w:val="18"/>
          <w:szCs w:val="18"/>
        </w:rPr>
        <w:t xml:space="preserve"> (</w:t>
      </w:r>
      <w:proofErr w:type="spellStart"/>
      <w:r w:rsidRPr="00836466">
        <w:rPr>
          <w:sz w:val="18"/>
          <w:szCs w:val="18"/>
        </w:rPr>
        <w:t>dec</w:t>
      </w:r>
      <w:proofErr w:type="spellEnd"/>
      <w:r w:rsidRPr="00836466">
        <w:rPr>
          <w:sz w:val="18"/>
          <w:szCs w:val="18"/>
        </w:rPr>
        <w:t xml:space="preserve">.), </w:t>
      </w:r>
      <w:proofErr w:type="spellStart"/>
      <w:r w:rsidRPr="00836466">
        <w:rPr>
          <w:sz w:val="18"/>
          <w:szCs w:val="18"/>
        </w:rPr>
        <w:t>nos</w:t>
      </w:r>
      <w:proofErr w:type="spellEnd"/>
      <w:r w:rsidRPr="00836466">
        <w:rPr>
          <w:sz w:val="18"/>
          <w:szCs w:val="18"/>
        </w:rPr>
        <w:t xml:space="preserve">. 55480/00 ve 59330/00, 21.10. 2003; </w:t>
      </w:r>
      <w:proofErr w:type="spellStart"/>
      <w:r w:rsidRPr="00836466">
        <w:rPr>
          <w:sz w:val="18"/>
          <w:szCs w:val="18"/>
        </w:rPr>
        <w:t>Rainys</w:t>
      </w:r>
      <w:proofErr w:type="spellEnd"/>
      <w:r w:rsidRPr="00836466">
        <w:rPr>
          <w:sz w:val="18"/>
          <w:szCs w:val="18"/>
        </w:rPr>
        <w:t xml:space="preserve"> ve </w:t>
      </w:r>
      <w:proofErr w:type="spellStart"/>
      <w:r w:rsidRPr="00836466">
        <w:rPr>
          <w:sz w:val="18"/>
          <w:szCs w:val="18"/>
        </w:rPr>
        <w:t>Gasparavičius</w:t>
      </w:r>
      <w:proofErr w:type="spellEnd"/>
      <w:r w:rsidRPr="00836466">
        <w:rPr>
          <w:sz w:val="18"/>
          <w:szCs w:val="18"/>
        </w:rPr>
        <w:t>/</w:t>
      </w:r>
      <w:proofErr w:type="spellStart"/>
      <w:r w:rsidRPr="00836466">
        <w:rPr>
          <w:sz w:val="18"/>
          <w:szCs w:val="18"/>
        </w:rPr>
        <w:t>Litvanya</w:t>
      </w:r>
      <w:proofErr w:type="spellEnd"/>
      <w:r w:rsidRPr="00836466">
        <w:rPr>
          <w:sz w:val="18"/>
          <w:szCs w:val="18"/>
        </w:rPr>
        <w:t xml:space="preserve"> (</w:t>
      </w:r>
      <w:proofErr w:type="spellStart"/>
      <w:r w:rsidRPr="00836466">
        <w:rPr>
          <w:sz w:val="18"/>
          <w:szCs w:val="18"/>
        </w:rPr>
        <w:t>dec</w:t>
      </w:r>
      <w:proofErr w:type="spellEnd"/>
      <w:r w:rsidRPr="00836466">
        <w:rPr>
          <w:sz w:val="18"/>
          <w:szCs w:val="18"/>
        </w:rPr>
        <w:t xml:space="preserve">.), </w:t>
      </w:r>
      <w:proofErr w:type="spellStart"/>
      <w:r w:rsidRPr="00836466">
        <w:rPr>
          <w:sz w:val="18"/>
          <w:szCs w:val="18"/>
        </w:rPr>
        <w:t>nos</w:t>
      </w:r>
      <w:proofErr w:type="spellEnd"/>
      <w:r w:rsidRPr="00836466">
        <w:rPr>
          <w:sz w:val="18"/>
          <w:szCs w:val="18"/>
        </w:rPr>
        <w:t xml:space="preserve">. 70665/01 ve 74345/01, 22.1. 2004; </w:t>
      </w:r>
      <w:proofErr w:type="spellStart"/>
      <w:r w:rsidRPr="00836466">
        <w:rPr>
          <w:sz w:val="18"/>
          <w:szCs w:val="18"/>
        </w:rPr>
        <w:t>Ivanovski</w:t>
      </w:r>
      <w:proofErr w:type="spellEnd"/>
      <w:r w:rsidRPr="00836466">
        <w:rPr>
          <w:sz w:val="18"/>
          <w:szCs w:val="18"/>
        </w:rPr>
        <w:t>/Makedonya, no. 29908/11, 21.1.2016, para. 117-122.</w:t>
      </w:r>
    </w:p>
  </w:footnote>
  <w:footnote w:id="25">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i/>
          <w:sz w:val="18"/>
          <w:szCs w:val="18"/>
        </w:rPr>
        <w:t>Matyjek</w:t>
      </w:r>
      <w:proofErr w:type="spellEnd"/>
      <w:r w:rsidRPr="00836466">
        <w:rPr>
          <w:i/>
          <w:sz w:val="18"/>
          <w:szCs w:val="18"/>
        </w:rPr>
        <w:t>/Polonya</w:t>
      </w:r>
      <w:r w:rsidRPr="00836466">
        <w:rPr>
          <w:sz w:val="18"/>
          <w:szCs w:val="18"/>
        </w:rPr>
        <w:t xml:space="preserve">, 38184/03, 30.5.2006, kabul edilebilirlik kararı; </w:t>
      </w:r>
      <w:proofErr w:type="spellStart"/>
      <w:r w:rsidRPr="00836466">
        <w:rPr>
          <w:i/>
          <w:sz w:val="18"/>
          <w:szCs w:val="18"/>
        </w:rPr>
        <w:t>Bobek</w:t>
      </w:r>
      <w:proofErr w:type="spellEnd"/>
      <w:r w:rsidRPr="00836466">
        <w:rPr>
          <w:i/>
          <w:sz w:val="18"/>
          <w:szCs w:val="18"/>
        </w:rPr>
        <w:t>/ Polonya</w:t>
      </w:r>
      <w:r w:rsidRPr="00836466">
        <w:rPr>
          <w:sz w:val="18"/>
          <w:szCs w:val="18"/>
        </w:rPr>
        <w:t xml:space="preserve">, no. 68761/01, 24.10. 2006. </w:t>
      </w:r>
    </w:p>
  </w:footnote>
  <w:footnote w:id="26">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Venedik Komisyonu’nun bazı ülkelerde bu amaçla hazırlanmış yasaları değerlendirirken 1096 sayılı kararı esas aldığı görülmektedir.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CDL-AD(2012)028, </w:t>
      </w:r>
      <w:proofErr w:type="spellStart"/>
      <w:r w:rsidRPr="00836466">
        <w:rPr>
          <w:sz w:val="18"/>
          <w:szCs w:val="18"/>
        </w:rPr>
        <w:t>Amicus</w:t>
      </w:r>
      <w:proofErr w:type="spellEnd"/>
      <w:r w:rsidRPr="00836466">
        <w:rPr>
          <w:sz w:val="18"/>
          <w:szCs w:val="18"/>
        </w:rPr>
        <w:t xml:space="preserve"> </w:t>
      </w:r>
      <w:proofErr w:type="spellStart"/>
      <w:r w:rsidRPr="00836466">
        <w:rPr>
          <w:sz w:val="18"/>
          <w:szCs w:val="18"/>
        </w:rPr>
        <w:t>Curie</w:t>
      </w:r>
      <w:proofErr w:type="spellEnd"/>
      <w:r w:rsidRPr="00836466">
        <w:rPr>
          <w:sz w:val="18"/>
          <w:szCs w:val="18"/>
        </w:rPr>
        <w:t xml:space="preserve"> </w:t>
      </w:r>
      <w:proofErr w:type="spellStart"/>
      <w:r w:rsidRPr="00836466">
        <w:rPr>
          <w:iCs/>
          <w:sz w:val="18"/>
          <w:szCs w:val="18"/>
        </w:rPr>
        <w:t>Brief</w:t>
      </w:r>
      <w:proofErr w:type="spellEnd"/>
      <w:r w:rsidRPr="00836466">
        <w:rPr>
          <w:iCs/>
          <w:sz w:val="18"/>
          <w:szCs w:val="18"/>
        </w:rPr>
        <w:t xml:space="preserve"> on </w:t>
      </w:r>
      <w:proofErr w:type="spellStart"/>
      <w:r w:rsidRPr="00836466">
        <w:rPr>
          <w:iCs/>
          <w:sz w:val="18"/>
          <w:szCs w:val="18"/>
        </w:rPr>
        <w:t>Determining</w:t>
      </w:r>
      <w:proofErr w:type="spellEnd"/>
      <w:r w:rsidRPr="00836466">
        <w:rPr>
          <w:iCs/>
          <w:sz w:val="18"/>
          <w:szCs w:val="18"/>
        </w:rPr>
        <w:t xml:space="preserve"> a </w:t>
      </w:r>
      <w:proofErr w:type="spellStart"/>
      <w:r w:rsidRPr="00836466">
        <w:rPr>
          <w:iCs/>
          <w:sz w:val="18"/>
          <w:szCs w:val="18"/>
        </w:rPr>
        <w:t>Criterion</w:t>
      </w:r>
      <w:proofErr w:type="spellEnd"/>
      <w:r w:rsidRPr="00836466">
        <w:rPr>
          <w:iCs/>
          <w:sz w:val="18"/>
          <w:szCs w:val="18"/>
        </w:rPr>
        <w:t xml:space="preserve"> </w:t>
      </w:r>
      <w:proofErr w:type="spellStart"/>
      <w:r w:rsidRPr="00836466">
        <w:rPr>
          <w:iCs/>
          <w:sz w:val="18"/>
          <w:szCs w:val="18"/>
        </w:rPr>
        <w:t>for</w:t>
      </w:r>
      <w:proofErr w:type="spellEnd"/>
      <w:r w:rsidRPr="00836466">
        <w:rPr>
          <w:iCs/>
          <w:sz w:val="18"/>
          <w:szCs w:val="18"/>
        </w:rPr>
        <w:t xml:space="preserve"> </w:t>
      </w:r>
      <w:proofErr w:type="spellStart"/>
      <w:r w:rsidRPr="00836466">
        <w:rPr>
          <w:iCs/>
          <w:sz w:val="18"/>
          <w:szCs w:val="18"/>
        </w:rPr>
        <w:t>Limiting</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Exercise</w:t>
      </w:r>
      <w:proofErr w:type="spellEnd"/>
      <w:r w:rsidRPr="00836466">
        <w:rPr>
          <w:iCs/>
          <w:sz w:val="18"/>
          <w:szCs w:val="18"/>
        </w:rPr>
        <w:t xml:space="preserve"> of </w:t>
      </w:r>
      <w:proofErr w:type="spellStart"/>
      <w:r w:rsidRPr="00836466">
        <w:rPr>
          <w:iCs/>
          <w:sz w:val="18"/>
          <w:szCs w:val="18"/>
        </w:rPr>
        <w:t>Public</w:t>
      </w:r>
      <w:proofErr w:type="spellEnd"/>
      <w:r w:rsidRPr="00836466">
        <w:rPr>
          <w:iCs/>
          <w:sz w:val="18"/>
          <w:szCs w:val="18"/>
        </w:rPr>
        <w:t xml:space="preserve"> Office, Access </w:t>
      </w:r>
      <w:proofErr w:type="spellStart"/>
      <w:r w:rsidRPr="00836466">
        <w:rPr>
          <w:iCs/>
          <w:sz w:val="18"/>
          <w:szCs w:val="18"/>
        </w:rPr>
        <w:t>to</w:t>
      </w:r>
      <w:proofErr w:type="spellEnd"/>
      <w:r w:rsidRPr="00836466">
        <w:rPr>
          <w:iCs/>
          <w:sz w:val="18"/>
          <w:szCs w:val="18"/>
        </w:rPr>
        <w:t xml:space="preserve"> </w:t>
      </w:r>
      <w:proofErr w:type="spellStart"/>
      <w:r w:rsidRPr="00836466">
        <w:rPr>
          <w:iCs/>
          <w:sz w:val="18"/>
          <w:szCs w:val="18"/>
        </w:rPr>
        <w:t>Documents</w:t>
      </w:r>
      <w:proofErr w:type="spellEnd"/>
      <w:r w:rsidRPr="00836466">
        <w:rPr>
          <w:iCs/>
          <w:sz w:val="18"/>
          <w:szCs w:val="18"/>
        </w:rPr>
        <w:t xml:space="preserve"> </w:t>
      </w:r>
      <w:proofErr w:type="spellStart"/>
      <w:r w:rsidRPr="00836466">
        <w:rPr>
          <w:iCs/>
          <w:sz w:val="18"/>
          <w:szCs w:val="18"/>
        </w:rPr>
        <w:t>and</w:t>
      </w:r>
      <w:proofErr w:type="spellEnd"/>
      <w:r w:rsidRPr="00836466">
        <w:rPr>
          <w:iCs/>
          <w:sz w:val="18"/>
          <w:szCs w:val="18"/>
        </w:rPr>
        <w:t xml:space="preserve"> </w:t>
      </w:r>
      <w:proofErr w:type="spellStart"/>
      <w:r w:rsidRPr="00836466">
        <w:rPr>
          <w:iCs/>
          <w:sz w:val="18"/>
          <w:szCs w:val="18"/>
        </w:rPr>
        <w:t>Publishing</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Co</w:t>
      </w:r>
      <w:proofErr w:type="spellEnd"/>
      <w:r w:rsidRPr="00836466">
        <w:rPr>
          <w:iCs/>
          <w:sz w:val="18"/>
          <w:szCs w:val="18"/>
        </w:rPr>
        <w:t>-</w:t>
      </w:r>
      <w:proofErr w:type="spellStart"/>
      <w:r w:rsidRPr="00836466">
        <w:rPr>
          <w:iCs/>
          <w:sz w:val="18"/>
          <w:szCs w:val="18"/>
        </w:rPr>
        <w:t>operation</w:t>
      </w:r>
      <w:proofErr w:type="spellEnd"/>
      <w:r w:rsidRPr="00836466">
        <w:rPr>
          <w:iCs/>
          <w:sz w:val="18"/>
          <w:szCs w:val="18"/>
        </w:rPr>
        <w:t xml:space="preserve"> </w:t>
      </w:r>
      <w:proofErr w:type="spellStart"/>
      <w:r w:rsidRPr="00836466">
        <w:rPr>
          <w:iCs/>
          <w:sz w:val="18"/>
          <w:szCs w:val="18"/>
        </w:rPr>
        <w:t>with</w:t>
      </w:r>
      <w:proofErr w:type="spellEnd"/>
      <w:r w:rsidRPr="00836466">
        <w:rPr>
          <w:iCs/>
          <w:sz w:val="18"/>
          <w:szCs w:val="18"/>
        </w:rPr>
        <w:t xml:space="preserve">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Bodies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State</w:t>
      </w:r>
      <w:proofErr w:type="spellEnd"/>
      <w:r w:rsidRPr="00836466">
        <w:rPr>
          <w:iCs/>
          <w:sz w:val="18"/>
          <w:szCs w:val="18"/>
        </w:rPr>
        <w:t xml:space="preserve"> </w:t>
      </w:r>
      <w:proofErr w:type="spellStart"/>
      <w:r w:rsidRPr="00836466">
        <w:rPr>
          <w:iCs/>
          <w:sz w:val="18"/>
          <w:szCs w:val="18"/>
        </w:rPr>
        <w:t>Security</w:t>
      </w:r>
      <w:proofErr w:type="spellEnd"/>
      <w:r w:rsidRPr="00836466">
        <w:rPr>
          <w:iCs/>
          <w:sz w:val="18"/>
          <w:szCs w:val="18"/>
        </w:rPr>
        <w:t xml:space="preserve"> (“</w:t>
      </w:r>
      <w:proofErr w:type="spellStart"/>
      <w:r w:rsidRPr="00836466">
        <w:rPr>
          <w:iCs/>
          <w:sz w:val="18"/>
          <w:szCs w:val="18"/>
        </w:rPr>
        <w:t>lustration</w:t>
      </w:r>
      <w:proofErr w:type="spellEnd"/>
      <w:r w:rsidRPr="00836466">
        <w:rPr>
          <w:iCs/>
          <w:sz w:val="18"/>
          <w:szCs w:val="18"/>
        </w:rPr>
        <w:t xml:space="preserve"> </w:t>
      </w:r>
      <w:proofErr w:type="spellStart"/>
      <w:r w:rsidRPr="00836466">
        <w:rPr>
          <w:iCs/>
          <w:sz w:val="18"/>
          <w:szCs w:val="18"/>
        </w:rPr>
        <w:t>law</w:t>
      </w:r>
      <w:proofErr w:type="spellEnd"/>
      <w:r w:rsidRPr="00836466">
        <w:rPr>
          <w:iCs/>
          <w:sz w:val="18"/>
          <w:szCs w:val="18"/>
        </w:rPr>
        <w:t>”)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Former</w:t>
      </w:r>
      <w:proofErr w:type="spellEnd"/>
      <w:r w:rsidRPr="00836466">
        <w:rPr>
          <w:iCs/>
          <w:sz w:val="18"/>
          <w:szCs w:val="18"/>
        </w:rPr>
        <w:t xml:space="preserve"> Yugoslav </w:t>
      </w:r>
      <w:proofErr w:type="spellStart"/>
      <w:r w:rsidRPr="00836466">
        <w:rPr>
          <w:iCs/>
          <w:sz w:val="18"/>
          <w:szCs w:val="18"/>
        </w:rPr>
        <w:t>Republic</w:t>
      </w:r>
      <w:proofErr w:type="spellEnd"/>
      <w:r w:rsidRPr="00836466">
        <w:rPr>
          <w:iCs/>
          <w:sz w:val="18"/>
          <w:szCs w:val="18"/>
        </w:rPr>
        <w:t xml:space="preserve"> of </w:t>
      </w:r>
      <w:proofErr w:type="spellStart"/>
      <w:r w:rsidRPr="00836466">
        <w:rPr>
          <w:iCs/>
          <w:sz w:val="18"/>
          <w:szCs w:val="18"/>
        </w:rPr>
        <w:t>Macedonia</w:t>
      </w:r>
      <w:proofErr w:type="spellEnd"/>
      <w:r w:rsidRPr="00836466">
        <w:rPr>
          <w:iCs/>
          <w:sz w:val="18"/>
          <w:szCs w:val="18"/>
        </w:rPr>
        <w:t xml:space="preserve">”, </w:t>
      </w:r>
      <w:proofErr w:type="spellStart"/>
      <w:r w:rsidRPr="00836466">
        <w:rPr>
          <w:sz w:val="18"/>
          <w:szCs w:val="18"/>
        </w:rPr>
        <w:t>Opinion</w:t>
      </w:r>
      <w:proofErr w:type="spellEnd"/>
      <w:r w:rsidRPr="00836466">
        <w:rPr>
          <w:sz w:val="18"/>
          <w:szCs w:val="18"/>
        </w:rPr>
        <w:t xml:space="preserve"> no. 694/2012, 17 </w:t>
      </w:r>
      <w:proofErr w:type="spellStart"/>
      <w:r w:rsidRPr="00836466">
        <w:rPr>
          <w:sz w:val="18"/>
          <w:szCs w:val="18"/>
        </w:rPr>
        <w:t>December</w:t>
      </w:r>
      <w:proofErr w:type="spellEnd"/>
      <w:r w:rsidRPr="00836466">
        <w:rPr>
          <w:sz w:val="18"/>
          <w:szCs w:val="18"/>
        </w:rPr>
        <w:t xml:space="preserve"> 2012.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CDL-AD(2015)012, Final </w:t>
      </w:r>
      <w:proofErr w:type="spellStart"/>
      <w:r w:rsidRPr="00836466">
        <w:rPr>
          <w:sz w:val="18"/>
          <w:szCs w:val="18"/>
        </w:rPr>
        <w:t>opinion</w:t>
      </w:r>
      <w:proofErr w:type="spellEnd"/>
      <w:r w:rsidRPr="00836466">
        <w:rPr>
          <w:sz w:val="18"/>
          <w:szCs w:val="18"/>
        </w:rPr>
        <w:t xml:space="preserve"> on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law</w:t>
      </w:r>
      <w:proofErr w:type="spellEnd"/>
      <w:r w:rsidRPr="00836466">
        <w:rPr>
          <w:sz w:val="18"/>
          <w:szCs w:val="18"/>
        </w:rPr>
        <w:t xml:space="preserve"> on </w:t>
      </w:r>
      <w:proofErr w:type="spellStart"/>
      <w:r w:rsidRPr="00836466">
        <w:rPr>
          <w:sz w:val="18"/>
          <w:szCs w:val="18"/>
        </w:rPr>
        <w:t>government</w:t>
      </w:r>
      <w:proofErr w:type="spellEnd"/>
      <w:r w:rsidRPr="00836466">
        <w:rPr>
          <w:sz w:val="18"/>
          <w:szCs w:val="18"/>
        </w:rPr>
        <w:t xml:space="preserve"> </w:t>
      </w:r>
      <w:proofErr w:type="spellStart"/>
      <w:r w:rsidRPr="00836466">
        <w:rPr>
          <w:sz w:val="18"/>
          <w:szCs w:val="18"/>
        </w:rPr>
        <w:t>cleansing</w:t>
      </w:r>
      <w:proofErr w:type="spellEnd"/>
      <w:r w:rsidRPr="00836466">
        <w:rPr>
          <w:sz w:val="18"/>
          <w:szCs w:val="18"/>
        </w:rPr>
        <w:t xml:space="preserve"> (</w:t>
      </w:r>
      <w:proofErr w:type="spellStart"/>
      <w:r w:rsidRPr="00836466">
        <w:rPr>
          <w:sz w:val="18"/>
          <w:szCs w:val="18"/>
        </w:rPr>
        <w:t>lustration</w:t>
      </w:r>
      <w:proofErr w:type="spellEnd"/>
      <w:r w:rsidRPr="00836466">
        <w:rPr>
          <w:sz w:val="18"/>
          <w:szCs w:val="18"/>
        </w:rPr>
        <w:t xml:space="preserve"> </w:t>
      </w:r>
      <w:proofErr w:type="spellStart"/>
      <w:r w:rsidRPr="00836466">
        <w:rPr>
          <w:sz w:val="18"/>
          <w:szCs w:val="18"/>
        </w:rPr>
        <w:t>law</w:t>
      </w:r>
      <w:proofErr w:type="spellEnd"/>
      <w:r w:rsidRPr="00836466">
        <w:rPr>
          <w:sz w:val="18"/>
          <w:szCs w:val="18"/>
        </w:rPr>
        <w:t xml:space="preserve">) of </w:t>
      </w:r>
      <w:proofErr w:type="spellStart"/>
      <w:r w:rsidRPr="00836466">
        <w:rPr>
          <w:sz w:val="18"/>
          <w:szCs w:val="18"/>
        </w:rPr>
        <w:t>Ukraine</w:t>
      </w:r>
      <w:proofErr w:type="spellEnd"/>
      <w:r w:rsidRPr="00836466">
        <w:rPr>
          <w:sz w:val="18"/>
          <w:szCs w:val="18"/>
        </w:rPr>
        <w:t xml:space="preserve">, as </w:t>
      </w:r>
      <w:proofErr w:type="spellStart"/>
      <w:r w:rsidRPr="00836466">
        <w:rPr>
          <w:sz w:val="18"/>
          <w:szCs w:val="18"/>
        </w:rPr>
        <w:t>would</w:t>
      </w:r>
      <w:proofErr w:type="spellEnd"/>
      <w:r w:rsidRPr="00836466">
        <w:rPr>
          <w:sz w:val="18"/>
          <w:szCs w:val="18"/>
        </w:rPr>
        <w:t xml:space="preserve"> </w:t>
      </w:r>
      <w:proofErr w:type="spellStart"/>
      <w:r w:rsidRPr="00836466">
        <w:rPr>
          <w:sz w:val="18"/>
          <w:szCs w:val="18"/>
        </w:rPr>
        <w:t>result</w:t>
      </w:r>
      <w:proofErr w:type="spellEnd"/>
      <w:r w:rsidRPr="00836466">
        <w:rPr>
          <w:sz w:val="18"/>
          <w:szCs w:val="18"/>
        </w:rPr>
        <w:t xml:space="preserve"> </w:t>
      </w:r>
      <w:proofErr w:type="spellStart"/>
      <w:r w:rsidRPr="00836466">
        <w:rPr>
          <w:sz w:val="18"/>
          <w:szCs w:val="18"/>
        </w:rPr>
        <w:t>from</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amendments</w:t>
      </w:r>
      <w:proofErr w:type="spellEnd"/>
      <w:r w:rsidRPr="00836466">
        <w:rPr>
          <w:sz w:val="18"/>
          <w:szCs w:val="18"/>
        </w:rPr>
        <w:t xml:space="preserve"> </w:t>
      </w:r>
      <w:proofErr w:type="spellStart"/>
      <w:r w:rsidRPr="00836466">
        <w:rPr>
          <w:sz w:val="18"/>
          <w:szCs w:val="18"/>
        </w:rPr>
        <w:t>submitted</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Verkhovna</w:t>
      </w:r>
      <w:proofErr w:type="spellEnd"/>
      <w:r w:rsidRPr="00836466">
        <w:rPr>
          <w:sz w:val="18"/>
          <w:szCs w:val="18"/>
        </w:rPr>
        <w:t xml:space="preserve"> </w:t>
      </w:r>
      <w:proofErr w:type="spellStart"/>
      <w:r w:rsidRPr="00836466">
        <w:rPr>
          <w:sz w:val="18"/>
          <w:szCs w:val="18"/>
        </w:rPr>
        <w:t>Rada</w:t>
      </w:r>
      <w:proofErr w:type="spellEnd"/>
      <w:r w:rsidRPr="00836466">
        <w:rPr>
          <w:sz w:val="18"/>
          <w:szCs w:val="18"/>
        </w:rPr>
        <w:t xml:space="preserve"> on 21 April 2015, </w:t>
      </w:r>
      <w:proofErr w:type="spellStart"/>
      <w:r w:rsidRPr="00836466">
        <w:rPr>
          <w:sz w:val="18"/>
          <w:szCs w:val="18"/>
        </w:rPr>
        <w:t>Opinion</w:t>
      </w:r>
      <w:proofErr w:type="spellEnd"/>
      <w:r w:rsidRPr="00836466">
        <w:rPr>
          <w:sz w:val="18"/>
          <w:szCs w:val="18"/>
        </w:rPr>
        <w:t xml:space="preserve"> no. 788/2014, 19-20 </w:t>
      </w:r>
      <w:proofErr w:type="spellStart"/>
      <w:r w:rsidRPr="00836466">
        <w:rPr>
          <w:sz w:val="18"/>
          <w:szCs w:val="18"/>
        </w:rPr>
        <w:t>June</w:t>
      </w:r>
      <w:proofErr w:type="spellEnd"/>
      <w:r w:rsidRPr="00836466">
        <w:rPr>
          <w:sz w:val="18"/>
          <w:szCs w:val="18"/>
        </w:rPr>
        <w:t xml:space="preserve"> 2015; </w:t>
      </w:r>
      <w:proofErr w:type="spellStart"/>
      <w:r w:rsidRPr="00836466">
        <w:rPr>
          <w:sz w:val="18"/>
          <w:szCs w:val="18"/>
        </w:rPr>
        <w:t>Venice</w:t>
      </w:r>
      <w:proofErr w:type="spellEnd"/>
      <w:r w:rsidRPr="00836466">
        <w:rPr>
          <w:sz w:val="18"/>
          <w:szCs w:val="18"/>
        </w:rPr>
        <w:t xml:space="preserve"> </w:t>
      </w:r>
      <w:proofErr w:type="spellStart"/>
      <w:r w:rsidRPr="00836466">
        <w:rPr>
          <w:sz w:val="18"/>
          <w:szCs w:val="18"/>
        </w:rPr>
        <w:t>Commission</w:t>
      </w:r>
      <w:proofErr w:type="spellEnd"/>
      <w:r w:rsidRPr="00836466">
        <w:rPr>
          <w:sz w:val="18"/>
          <w:szCs w:val="18"/>
        </w:rPr>
        <w:t xml:space="preserve">, CDL-AD(2009)044, </w:t>
      </w:r>
      <w:proofErr w:type="spellStart"/>
      <w:r w:rsidRPr="00836466">
        <w:rPr>
          <w:sz w:val="18"/>
          <w:szCs w:val="18"/>
        </w:rPr>
        <w:t>Amicus</w:t>
      </w:r>
      <w:proofErr w:type="spellEnd"/>
      <w:r w:rsidRPr="00836466">
        <w:rPr>
          <w:sz w:val="18"/>
          <w:szCs w:val="18"/>
        </w:rPr>
        <w:t xml:space="preserve"> </w:t>
      </w:r>
      <w:proofErr w:type="spellStart"/>
      <w:r w:rsidRPr="00836466">
        <w:rPr>
          <w:sz w:val="18"/>
          <w:szCs w:val="18"/>
        </w:rPr>
        <w:t>Curie</w:t>
      </w:r>
      <w:proofErr w:type="spellEnd"/>
      <w:r w:rsidRPr="00836466">
        <w:rPr>
          <w:sz w:val="18"/>
          <w:szCs w:val="18"/>
        </w:rPr>
        <w:t xml:space="preserve"> </w:t>
      </w:r>
      <w:r w:rsidRPr="00836466">
        <w:rPr>
          <w:iCs/>
          <w:sz w:val="18"/>
          <w:szCs w:val="18"/>
        </w:rPr>
        <w:t xml:space="preserve">on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Law</w:t>
      </w:r>
      <w:proofErr w:type="spellEnd"/>
      <w:r w:rsidRPr="00836466">
        <w:rPr>
          <w:iCs/>
          <w:sz w:val="18"/>
          <w:szCs w:val="18"/>
        </w:rPr>
        <w:t xml:space="preserve"> on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Cleanliness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Figure</w:t>
      </w:r>
      <w:proofErr w:type="spellEnd"/>
      <w:r w:rsidRPr="00836466">
        <w:rPr>
          <w:iCs/>
          <w:sz w:val="18"/>
          <w:szCs w:val="18"/>
        </w:rPr>
        <w:t xml:space="preserve"> of </w:t>
      </w:r>
      <w:proofErr w:type="spellStart"/>
      <w:r w:rsidRPr="00836466">
        <w:rPr>
          <w:iCs/>
          <w:sz w:val="18"/>
          <w:szCs w:val="18"/>
        </w:rPr>
        <w:t>High</w:t>
      </w:r>
      <w:proofErr w:type="spellEnd"/>
      <w:r w:rsidRPr="00836466">
        <w:rPr>
          <w:iCs/>
          <w:sz w:val="18"/>
          <w:szCs w:val="18"/>
        </w:rPr>
        <w:t xml:space="preserve"> </w:t>
      </w:r>
      <w:proofErr w:type="spellStart"/>
      <w:r w:rsidRPr="00836466">
        <w:rPr>
          <w:iCs/>
          <w:sz w:val="18"/>
          <w:szCs w:val="18"/>
        </w:rPr>
        <w:t>Functionaries</w:t>
      </w:r>
      <w:proofErr w:type="spellEnd"/>
      <w:r w:rsidRPr="00836466">
        <w:rPr>
          <w:iCs/>
          <w:sz w:val="18"/>
          <w:szCs w:val="18"/>
        </w:rPr>
        <w:t xml:space="preserve"> of </w:t>
      </w:r>
      <w:proofErr w:type="spellStart"/>
      <w:r w:rsidRPr="00836466">
        <w:rPr>
          <w:iCs/>
          <w:sz w:val="18"/>
          <w:szCs w:val="18"/>
        </w:rPr>
        <w:t>the</w:t>
      </w:r>
      <w:proofErr w:type="spellEnd"/>
      <w:r w:rsidRPr="00836466">
        <w:rPr>
          <w:iCs/>
          <w:sz w:val="18"/>
          <w:szCs w:val="18"/>
        </w:rPr>
        <w:t xml:space="preserve"> </w:t>
      </w:r>
      <w:proofErr w:type="spellStart"/>
      <w:r w:rsidRPr="00836466">
        <w:rPr>
          <w:iCs/>
          <w:sz w:val="18"/>
          <w:szCs w:val="18"/>
        </w:rPr>
        <w:t>Public</w:t>
      </w:r>
      <w:proofErr w:type="spellEnd"/>
      <w:r w:rsidRPr="00836466">
        <w:rPr>
          <w:iCs/>
          <w:sz w:val="18"/>
          <w:szCs w:val="18"/>
        </w:rPr>
        <w:t xml:space="preserve"> </w:t>
      </w:r>
      <w:proofErr w:type="spellStart"/>
      <w:r w:rsidRPr="00836466">
        <w:rPr>
          <w:iCs/>
          <w:sz w:val="18"/>
          <w:szCs w:val="18"/>
        </w:rPr>
        <w:t>Administration</w:t>
      </w:r>
      <w:proofErr w:type="spellEnd"/>
      <w:r w:rsidRPr="00836466">
        <w:rPr>
          <w:iCs/>
          <w:sz w:val="18"/>
          <w:szCs w:val="18"/>
        </w:rPr>
        <w:t xml:space="preserve"> </w:t>
      </w:r>
      <w:proofErr w:type="spellStart"/>
      <w:r w:rsidRPr="00836466">
        <w:rPr>
          <w:iCs/>
          <w:sz w:val="18"/>
          <w:szCs w:val="18"/>
        </w:rPr>
        <w:t>and</w:t>
      </w:r>
      <w:proofErr w:type="spellEnd"/>
      <w:r w:rsidRPr="00836466">
        <w:rPr>
          <w:iCs/>
          <w:sz w:val="18"/>
          <w:szCs w:val="18"/>
        </w:rPr>
        <w:t xml:space="preserve"> </w:t>
      </w:r>
      <w:proofErr w:type="spellStart"/>
      <w:r w:rsidRPr="00836466">
        <w:rPr>
          <w:iCs/>
          <w:sz w:val="18"/>
          <w:szCs w:val="18"/>
        </w:rPr>
        <w:t>Elected</w:t>
      </w:r>
      <w:proofErr w:type="spellEnd"/>
      <w:r w:rsidRPr="00836466">
        <w:rPr>
          <w:iCs/>
          <w:sz w:val="18"/>
          <w:szCs w:val="18"/>
        </w:rPr>
        <w:t xml:space="preserve"> </w:t>
      </w:r>
      <w:proofErr w:type="spellStart"/>
      <w:r w:rsidRPr="00836466">
        <w:rPr>
          <w:iCs/>
          <w:sz w:val="18"/>
          <w:szCs w:val="18"/>
        </w:rPr>
        <w:t>Persons</w:t>
      </w:r>
      <w:proofErr w:type="spellEnd"/>
      <w:r w:rsidRPr="00836466">
        <w:rPr>
          <w:iCs/>
          <w:sz w:val="18"/>
          <w:szCs w:val="18"/>
        </w:rPr>
        <w:t xml:space="preserve"> of </w:t>
      </w:r>
      <w:proofErr w:type="spellStart"/>
      <w:r w:rsidRPr="00836466">
        <w:rPr>
          <w:iCs/>
          <w:sz w:val="18"/>
          <w:szCs w:val="18"/>
        </w:rPr>
        <w:t>Albania</w:t>
      </w:r>
      <w:proofErr w:type="spellEnd"/>
      <w:r w:rsidRPr="00836466">
        <w:rPr>
          <w:iCs/>
          <w:sz w:val="18"/>
          <w:szCs w:val="18"/>
        </w:rPr>
        <w:t xml:space="preserve">, </w:t>
      </w:r>
      <w:proofErr w:type="spellStart"/>
      <w:r w:rsidRPr="00836466">
        <w:rPr>
          <w:sz w:val="18"/>
          <w:szCs w:val="18"/>
        </w:rPr>
        <w:t>Opinion</w:t>
      </w:r>
      <w:proofErr w:type="spellEnd"/>
      <w:r w:rsidRPr="00836466">
        <w:rPr>
          <w:sz w:val="18"/>
          <w:szCs w:val="18"/>
        </w:rPr>
        <w:t xml:space="preserve"> no. 524/2009, 13 </w:t>
      </w:r>
      <w:proofErr w:type="spellStart"/>
      <w:r w:rsidRPr="00836466">
        <w:rPr>
          <w:sz w:val="18"/>
          <w:szCs w:val="18"/>
        </w:rPr>
        <w:t>October</w:t>
      </w:r>
      <w:proofErr w:type="spellEnd"/>
      <w:r w:rsidRPr="00836466">
        <w:rPr>
          <w:sz w:val="18"/>
          <w:szCs w:val="18"/>
        </w:rPr>
        <w:t xml:space="preserve"> 2009).</w:t>
      </w:r>
    </w:p>
  </w:footnote>
  <w:footnote w:id="27">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sz w:val="18"/>
          <w:szCs w:val="18"/>
        </w:rPr>
        <w:t>Parliamentary</w:t>
      </w:r>
      <w:proofErr w:type="spellEnd"/>
      <w:r w:rsidRPr="00836466">
        <w:rPr>
          <w:sz w:val="18"/>
          <w:szCs w:val="18"/>
        </w:rPr>
        <w:t xml:space="preserve"> </w:t>
      </w:r>
      <w:proofErr w:type="spellStart"/>
      <w:r w:rsidRPr="00836466">
        <w:rPr>
          <w:sz w:val="18"/>
          <w:szCs w:val="18"/>
        </w:rPr>
        <w:t>Assembly</w:t>
      </w:r>
      <w:proofErr w:type="spellEnd"/>
      <w:r w:rsidRPr="00836466">
        <w:rPr>
          <w:sz w:val="18"/>
          <w:szCs w:val="18"/>
        </w:rPr>
        <w:t xml:space="preserve"> of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Council</w:t>
      </w:r>
      <w:proofErr w:type="spellEnd"/>
      <w:r w:rsidRPr="00836466">
        <w:rPr>
          <w:sz w:val="18"/>
          <w:szCs w:val="18"/>
        </w:rPr>
        <w:t xml:space="preserve"> of </w:t>
      </w:r>
      <w:proofErr w:type="spellStart"/>
      <w:r w:rsidRPr="00836466">
        <w:rPr>
          <w:sz w:val="18"/>
          <w:szCs w:val="18"/>
        </w:rPr>
        <w:t>Europe</w:t>
      </w:r>
      <w:proofErr w:type="spellEnd"/>
      <w:r w:rsidRPr="00836466">
        <w:rPr>
          <w:sz w:val="18"/>
          <w:szCs w:val="18"/>
        </w:rPr>
        <w:t xml:space="preserve"> </w:t>
      </w:r>
      <w:proofErr w:type="spellStart"/>
      <w:r w:rsidRPr="00836466">
        <w:rPr>
          <w:sz w:val="18"/>
          <w:szCs w:val="18"/>
        </w:rPr>
        <w:t>Resolution</w:t>
      </w:r>
      <w:proofErr w:type="spellEnd"/>
      <w:r w:rsidRPr="00836466">
        <w:rPr>
          <w:sz w:val="18"/>
          <w:szCs w:val="18"/>
        </w:rPr>
        <w:t xml:space="preserve"> 1096 (1996) on </w:t>
      </w:r>
      <w:proofErr w:type="spellStart"/>
      <w:r w:rsidRPr="00836466">
        <w:rPr>
          <w:sz w:val="18"/>
          <w:szCs w:val="18"/>
        </w:rPr>
        <w:t>measures</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dismantle</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heritage</w:t>
      </w:r>
      <w:proofErr w:type="spellEnd"/>
      <w:r w:rsidRPr="00836466">
        <w:rPr>
          <w:sz w:val="18"/>
          <w:szCs w:val="18"/>
        </w:rPr>
        <w:t xml:space="preserve"> of </w:t>
      </w:r>
      <w:proofErr w:type="spellStart"/>
      <w:r w:rsidRPr="00836466">
        <w:rPr>
          <w:sz w:val="18"/>
          <w:szCs w:val="18"/>
        </w:rPr>
        <w:t>former</w:t>
      </w:r>
      <w:proofErr w:type="spellEnd"/>
      <w:r w:rsidRPr="00836466">
        <w:rPr>
          <w:sz w:val="18"/>
          <w:szCs w:val="18"/>
        </w:rPr>
        <w:t xml:space="preserve"> </w:t>
      </w:r>
      <w:proofErr w:type="spellStart"/>
      <w:r w:rsidRPr="00836466">
        <w:rPr>
          <w:sz w:val="18"/>
          <w:szCs w:val="18"/>
        </w:rPr>
        <w:t>communist</w:t>
      </w:r>
      <w:proofErr w:type="spellEnd"/>
      <w:r w:rsidRPr="00836466">
        <w:rPr>
          <w:sz w:val="18"/>
          <w:szCs w:val="18"/>
        </w:rPr>
        <w:t xml:space="preserve"> </w:t>
      </w:r>
      <w:proofErr w:type="spellStart"/>
      <w:r w:rsidRPr="00836466">
        <w:rPr>
          <w:sz w:val="18"/>
          <w:szCs w:val="18"/>
        </w:rPr>
        <w:t>totalitarian</w:t>
      </w:r>
      <w:proofErr w:type="spellEnd"/>
      <w:r w:rsidRPr="00836466">
        <w:rPr>
          <w:sz w:val="18"/>
          <w:szCs w:val="18"/>
        </w:rPr>
        <w:t xml:space="preserve"> </w:t>
      </w:r>
      <w:proofErr w:type="spellStart"/>
      <w:r w:rsidRPr="00836466">
        <w:rPr>
          <w:sz w:val="18"/>
          <w:szCs w:val="18"/>
        </w:rPr>
        <w:t>systems</w:t>
      </w:r>
      <w:proofErr w:type="spellEnd"/>
      <w:r w:rsidRPr="00836466">
        <w:rPr>
          <w:sz w:val="18"/>
          <w:szCs w:val="18"/>
        </w:rPr>
        <w:t xml:space="preserve"> </w:t>
      </w:r>
      <w:proofErr w:type="spellStart"/>
      <w:r w:rsidRPr="00836466">
        <w:rPr>
          <w:sz w:val="18"/>
          <w:szCs w:val="18"/>
        </w:rPr>
        <w:t>and</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respective</w:t>
      </w:r>
      <w:proofErr w:type="spellEnd"/>
      <w:r w:rsidRPr="00836466">
        <w:rPr>
          <w:sz w:val="18"/>
          <w:szCs w:val="18"/>
        </w:rPr>
        <w:t xml:space="preserve"> </w:t>
      </w:r>
      <w:proofErr w:type="spellStart"/>
      <w:r w:rsidRPr="00836466">
        <w:rPr>
          <w:sz w:val="18"/>
          <w:szCs w:val="18"/>
        </w:rPr>
        <w:t>Guidelines</w:t>
      </w:r>
      <w:proofErr w:type="spellEnd"/>
      <w:r w:rsidRPr="00836466">
        <w:rPr>
          <w:sz w:val="18"/>
          <w:szCs w:val="18"/>
        </w:rPr>
        <w:t xml:space="preserve"> </w:t>
      </w:r>
      <w:proofErr w:type="spellStart"/>
      <w:r w:rsidRPr="00836466">
        <w:rPr>
          <w:sz w:val="18"/>
          <w:szCs w:val="18"/>
        </w:rPr>
        <w:t>to</w:t>
      </w:r>
      <w:proofErr w:type="spellEnd"/>
      <w:r w:rsidRPr="00836466">
        <w:rPr>
          <w:sz w:val="18"/>
          <w:szCs w:val="18"/>
        </w:rPr>
        <w:t xml:space="preserve"> </w:t>
      </w:r>
      <w:proofErr w:type="spellStart"/>
      <w:r w:rsidRPr="00836466">
        <w:rPr>
          <w:sz w:val="18"/>
          <w:szCs w:val="18"/>
        </w:rPr>
        <w:t>ensure</w:t>
      </w:r>
      <w:proofErr w:type="spellEnd"/>
      <w:r w:rsidRPr="00836466">
        <w:rPr>
          <w:sz w:val="18"/>
          <w:szCs w:val="18"/>
        </w:rPr>
        <w:t xml:space="preserve"> </w:t>
      </w:r>
      <w:proofErr w:type="spellStart"/>
      <w:r w:rsidRPr="00836466">
        <w:rPr>
          <w:sz w:val="18"/>
          <w:szCs w:val="18"/>
        </w:rPr>
        <w:t>that</w:t>
      </w:r>
      <w:proofErr w:type="spellEnd"/>
      <w:r w:rsidRPr="00836466">
        <w:rPr>
          <w:sz w:val="18"/>
          <w:szCs w:val="18"/>
        </w:rPr>
        <w:t xml:space="preserve"> </w:t>
      </w:r>
      <w:proofErr w:type="spellStart"/>
      <w:r w:rsidRPr="00836466">
        <w:rPr>
          <w:sz w:val="18"/>
          <w:szCs w:val="18"/>
        </w:rPr>
        <w:t>lustration</w:t>
      </w:r>
      <w:proofErr w:type="spellEnd"/>
      <w:r w:rsidRPr="00836466">
        <w:rPr>
          <w:sz w:val="18"/>
          <w:szCs w:val="18"/>
        </w:rPr>
        <w:t xml:space="preserve"> </w:t>
      </w:r>
      <w:proofErr w:type="spellStart"/>
      <w:r w:rsidRPr="00836466">
        <w:rPr>
          <w:sz w:val="18"/>
          <w:szCs w:val="18"/>
        </w:rPr>
        <w:t>laws</w:t>
      </w:r>
      <w:proofErr w:type="spellEnd"/>
      <w:r w:rsidRPr="00836466">
        <w:rPr>
          <w:sz w:val="18"/>
          <w:szCs w:val="18"/>
        </w:rPr>
        <w:t xml:space="preserve"> </w:t>
      </w:r>
      <w:proofErr w:type="spellStart"/>
      <w:r w:rsidRPr="00836466">
        <w:rPr>
          <w:sz w:val="18"/>
          <w:szCs w:val="18"/>
        </w:rPr>
        <w:t>and</w:t>
      </w:r>
      <w:proofErr w:type="spellEnd"/>
      <w:r w:rsidRPr="00836466">
        <w:rPr>
          <w:sz w:val="18"/>
          <w:szCs w:val="18"/>
        </w:rPr>
        <w:t xml:space="preserve"> </w:t>
      </w:r>
      <w:proofErr w:type="spellStart"/>
      <w:r w:rsidRPr="00836466">
        <w:rPr>
          <w:sz w:val="18"/>
          <w:szCs w:val="18"/>
        </w:rPr>
        <w:t>similar</w:t>
      </w:r>
      <w:proofErr w:type="spellEnd"/>
      <w:r w:rsidRPr="00836466">
        <w:rPr>
          <w:sz w:val="18"/>
          <w:szCs w:val="18"/>
        </w:rPr>
        <w:t xml:space="preserve"> </w:t>
      </w:r>
      <w:proofErr w:type="spellStart"/>
      <w:r w:rsidRPr="00836466">
        <w:rPr>
          <w:sz w:val="18"/>
          <w:szCs w:val="18"/>
        </w:rPr>
        <w:t>administrative</w:t>
      </w:r>
      <w:proofErr w:type="spellEnd"/>
      <w:r w:rsidRPr="00836466">
        <w:rPr>
          <w:sz w:val="18"/>
          <w:szCs w:val="18"/>
        </w:rPr>
        <w:t xml:space="preserve"> </w:t>
      </w:r>
      <w:proofErr w:type="spellStart"/>
      <w:r w:rsidRPr="00836466">
        <w:rPr>
          <w:sz w:val="18"/>
          <w:szCs w:val="18"/>
        </w:rPr>
        <w:t>measures</w:t>
      </w:r>
      <w:proofErr w:type="spellEnd"/>
      <w:r w:rsidRPr="00836466">
        <w:rPr>
          <w:sz w:val="18"/>
          <w:szCs w:val="18"/>
        </w:rPr>
        <w:t xml:space="preserve"> </w:t>
      </w:r>
      <w:proofErr w:type="spellStart"/>
      <w:r w:rsidRPr="00836466">
        <w:rPr>
          <w:sz w:val="18"/>
          <w:szCs w:val="18"/>
        </w:rPr>
        <w:t>comply</w:t>
      </w:r>
      <w:proofErr w:type="spellEnd"/>
      <w:r w:rsidRPr="00836466">
        <w:rPr>
          <w:sz w:val="18"/>
          <w:szCs w:val="18"/>
        </w:rPr>
        <w:t xml:space="preserve"> </w:t>
      </w:r>
      <w:proofErr w:type="spellStart"/>
      <w:r w:rsidRPr="00836466">
        <w:rPr>
          <w:sz w:val="18"/>
          <w:szCs w:val="18"/>
        </w:rPr>
        <w:t>with</w:t>
      </w:r>
      <w:proofErr w:type="spellEnd"/>
      <w:r w:rsidRPr="00836466">
        <w:rPr>
          <w:sz w:val="18"/>
          <w:szCs w:val="18"/>
        </w:rPr>
        <w:t xml:space="preserve">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requirements</w:t>
      </w:r>
      <w:proofErr w:type="spellEnd"/>
      <w:r w:rsidRPr="00836466">
        <w:rPr>
          <w:sz w:val="18"/>
          <w:szCs w:val="18"/>
        </w:rPr>
        <w:t xml:space="preserve"> of a </w:t>
      </w:r>
      <w:proofErr w:type="spellStart"/>
      <w:r w:rsidRPr="00836466">
        <w:rPr>
          <w:sz w:val="18"/>
          <w:szCs w:val="18"/>
        </w:rPr>
        <w:t>State</w:t>
      </w:r>
      <w:proofErr w:type="spellEnd"/>
      <w:r w:rsidRPr="00836466">
        <w:rPr>
          <w:sz w:val="18"/>
          <w:szCs w:val="18"/>
        </w:rPr>
        <w:t xml:space="preserve"> </w:t>
      </w:r>
      <w:proofErr w:type="spellStart"/>
      <w:r w:rsidRPr="00836466">
        <w:rPr>
          <w:sz w:val="18"/>
          <w:szCs w:val="18"/>
        </w:rPr>
        <w:t>based</w:t>
      </w:r>
      <w:proofErr w:type="spellEnd"/>
      <w:r w:rsidRPr="00836466">
        <w:rPr>
          <w:sz w:val="18"/>
          <w:szCs w:val="18"/>
        </w:rPr>
        <w:t xml:space="preserve"> on </w:t>
      </w:r>
      <w:proofErr w:type="spellStart"/>
      <w:r w:rsidRPr="00836466">
        <w:rPr>
          <w:sz w:val="18"/>
          <w:szCs w:val="18"/>
        </w:rPr>
        <w:t>the</w:t>
      </w:r>
      <w:proofErr w:type="spellEnd"/>
      <w:r w:rsidRPr="00836466">
        <w:rPr>
          <w:sz w:val="18"/>
          <w:szCs w:val="18"/>
        </w:rPr>
        <w:t xml:space="preserve"> </w:t>
      </w:r>
      <w:proofErr w:type="spellStart"/>
      <w:r w:rsidRPr="00836466">
        <w:rPr>
          <w:sz w:val="18"/>
          <w:szCs w:val="18"/>
        </w:rPr>
        <w:t>rule</w:t>
      </w:r>
      <w:proofErr w:type="spellEnd"/>
      <w:r w:rsidRPr="00836466">
        <w:rPr>
          <w:sz w:val="18"/>
          <w:szCs w:val="18"/>
        </w:rPr>
        <w:t xml:space="preserve"> of </w:t>
      </w:r>
      <w:proofErr w:type="spellStart"/>
      <w:r w:rsidRPr="00836466">
        <w:rPr>
          <w:sz w:val="18"/>
          <w:szCs w:val="18"/>
        </w:rPr>
        <w:t>law</w:t>
      </w:r>
      <w:proofErr w:type="spellEnd"/>
      <w:r w:rsidRPr="00836466">
        <w:rPr>
          <w:sz w:val="18"/>
          <w:szCs w:val="18"/>
        </w:rPr>
        <w:t xml:space="preserve"> (</w:t>
      </w:r>
      <w:proofErr w:type="spellStart"/>
      <w:r w:rsidRPr="00836466">
        <w:rPr>
          <w:sz w:val="18"/>
          <w:szCs w:val="18"/>
        </w:rPr>
        <w:t>doc</w:t>
      </w:r>
      <w:proofErr w:type="spellEnd"/>
      <w:r w:rsidRPr="00836466">
        <w:rPr>
          <w:sz w:val="18"/>
          <w:szCs w:val="18"/>
        </w:rPr>
        <w:t xml:space="preserve">. 7568), 3 </w:t>
      </w:r>
      <w:proofErr w:type="spellStart"/>
      <w:r w:rsidRPr="00836466">
        <w:rPr>
          <w:sz w:val="18"/>
          <w:szCs w:val="18"/>
        </w:rPr>
        <w:t>June</w:t>
      </w:r>
      <w:proofErr w:type="spellEnd"/>
      <w:r w:rsidRPr="00836466">
        <w:rPr>
          <w:sz w:val="18"/>
          <w:szCs w:val="18"/>
        </w:rPr>
        <w:t xml:space="preserve"> 1996.</w:t>
      </w:r>
    </w:p>
  </w:footnote>
  <w:footnote w:id="28">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i/>
          <w:iCs/>
          <w:sz w:val="18"/>
          <w:szCs w:val="18"/>
        </w:rPr>
        <w:t>Adamsons</w:t>
      </w:r>
      <w:proofErr w:type="spellEnd"/>
      <w:r w:rsidRPr="00836466">
        <w:rPr>
          <w:i/>
          <w:iCs/>
          <w:sz w:val="18"/>
          <w:szCs w:val="18"/>
        </w:rPr>
        <w:t>/Letonya</w:t>
      </w:r>
      <w:r w:rsidRPr="00836466">
        <w:rPr>
          <w:iCs/>
          <w:sz w:val="18"/>
          <w:szCs w:val="18"/>
        </w:rPr>
        <w:t xml:space="preserve">, </w:t>
      </w:r>
      <w:r w:rsidRPr="00836466">
        <w:rPr>
          <w:sz w:val="18"/>
          <w:szCs w:val="18"/>
        </w:rPr>
        <w:t xml:space="preserve">No. 3669/03, 24.6.2008, para. 125. </w:t>
      </w:r>
    </w:p>
  </w:footnote>
  <w:footnote w:id="29">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i/>
          <w:sz w:val="18"/>
          <w:szCs w:val="18"/>
        </w:rPr>
        <w:t>Žičkus</w:t>
      </w:r>
      <w:proofErr w:type="spellEnd"/>
      <w:r w:rsidRPr="00836466">
        <w:rPr>
          <w:i/>
          <w:sz w:val="18"/>
          <w:szCs w:val="18"/>
        </w:rPr>
        <w:t>/</w:t>
      </w:r>
      <w:proofErr w:type="spellStart"/>
      <w:r w:rsidRPr="00836466">
        <w:rPr>
          <w:i/>
          <w:sz w:val="18"/>
          <w:szCs w:val="18"/>
        </w:rPr>
        <w:t>Litvanya</w:t>
      </w:r>
      <w:proofErr w:type="spellEnd"/>
      <w:r w:rsidRPr="00836466">
        <w:rPr>
          <w:sz w:val="18"/>
          <w:szCs w:val="18"/>
        </w:rPr>
        <w:t xml:space="preserve">, no. 26652/02, </w:t>
      </w:r>
      <w:r w:rsidRPr="00836466">
        <w:rPr>
          <w:snapToGrid w:val="0"/>
          <w:sz w:val="18"/>
          <w:szCs w:val="18"/>
        </w:rPr>
        <w:t xml:space="preserve">7.4. 2009, para. 33; </w:t>
      </w:r>
      <w:proofErr w:type="spellStart"/>
      <w:r w:rsidRPr="00836466">
        <w:rPr>
          <w:i/>
          <w:sz w:val="18"/>
          <w:szCs w:val="18"/>
        </w:rPr>
        <w:t>Soro</w:t>
      </w:r>
      <w:proofErr w:type="spellEnd"/>
      <w:r w:rsidRPr="00836466">
        <w:rPr>
          <w:i/>
          <w:sz w:val="18"/>
          <w:szCs w:val="18"/>
        </w:rPr>
        <w:t>/</w:t>
      </w:r>
      <w:proofErr w:type="spellStart"/>
      <w:r w:rsidRPr="00836466">
        <w:rPr>
          <w:i/>
          <w:sz w:val="18"/>
          <w:szCs w:val="18"/>
        </w:rPr>
        <w:t>Estonya</w:t>
      </w:r>
      <w:proofErr w:type="spellEnd"/>
      <w:r w:rsidRPr="00836466">
        <w:rPr>
          <w:sz w:val="18"/>
          <w:szCs w:val="18"/>
        </w:rPr>
        <w:t>, no. 22588/08, 3.9.2015.</w:t>
      </w:r>
    </w:p>
  </w:footnote>
  <w:footnote w:id="30">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t xml:space="preserve">Venedik Komisyonu da kişisel kusurun, temizleme işlemi için bir ön koşul olduğunu düşünmektedir. </w:t>
      </w:r>
      <w:proofErr w:type="spellStart"/>
      <w:r w:rsidRPr="00836466">
        <w:rPr>
          <w:sz w:val="18"/>
          <w:szCs w:val="18"/>
        </w:rPr>
        <w:t>Opinion</w:t>
      </w:r>
      <w:proofErr w:type="spellEnd"/>
      <w:r w:rsidRPr="00836466">
        <w:rPr>
          <w:sz w:val="18"/>
          <w:szCs w:val="18"/>
        </w:rPr>
        <w:t xml:space="preserve"> no. 694/201, para. 7. </w:t>
      </w:r>
    </w:p>
  </w:footnote>
  <w:footnote w:id="31">
    <w:p w:rsidR="007611DE" w:rsidRPr="00836466" w:rsidRDefault="007611DE" w:rsidP="00836466">
      <w:pPr>
        <w:pStyle w:val="FootnoteTextYA"/>
        <w:ind w:left="170" w:right="170"/>
        <w:rPr>
          <w:sz w:val="18"/>
          <w:szCs w:val="18"/>
        </w:rPr>
      </w:pPr>
      <w:r w:rsidRPr="00836466">
        <w:rPr>
          <w:rStyle w:val="DipnotBavurusu"/>
          <w:sz w:val="18"/>
          <w:szCs w:val="18"/>
        </w:rPr>
        <w:footnoteRef/>
      </w:r>
      <w:r w:rsidRPr="00836466">
        <w:rPr>
          <w:sz w:val="18"/>
          <w:szCs w:val="18"/>
        </w:rPr>
        <w:tab/>
      </w:r>
      <w:proofErr w:type="spellStart"/>
      <w:r w:rsidRPr="00836466">
        <w:rPr>
          <w:iCs/>
          <w:sz w:val="18"/>
          <w:szCs w:val="18"/>
        </w:rPr>
        <w:t>Adamsons</w:t>
      </w:r>
      <w:proofErr w:type="spellEnd"/>
      <w:r w:rsidRPr="00836466">
        <w:rPr>
          <w:iCs/>
          <w:sz w:val="18"/>
          <w:szCs w:val="18"/>
        </w:rPr>
        <w:t xml:space="preserve">/Letonya, </w:t>
      </w:r>
      <w:r w:rsidRPr="00836466">
        <w:rPr>
          <w:sz w:val="18"/>
          <w:szCs w:val="18"/>
        </w:rPr>
        <w:t>No. 3669/03, 24.6.2008, para. 116.</w:t>
      </w:r>
    </w:p>
  </w:footnote>
  <w:footnote w:id="32">
    <w:p w:rsidR="007611DE" w:rsidRPr="00836466" w:rsidRDefault="007611DE" w:rsidP="00836466">
      <w:pPr>
        <w:pStyle w:val="FootnoteTextYA"/>
        <w:ind w:left="170" w:right="170"/>
        <w:rPr>
          <w:sz w:val="19"/>
          <w:szCs w:val="19"/>
        </w:rPr>
      </w:pPr>
      <w:r w:rsidRPr="00836466">
        <w:rPr>
          <w:rStyle w:val="DipnotBavurusu"/>
          <w:sz w:val="18"/>
          <w:szCs w:val="18"/>
        </w:rPr>
        <w:footnoteRef/>
      </w:r>
      <w:r w:rsidRPr="00836466">
        <w:rPr>
          <w:sz w:val="18"/>
          <w:szCs w:val="18"/>
        </w:rPr>
        <w:tab/>
      </w:r>
      <w:proofErr w:type="spellStart"/>
      <w:r w:rsidRPr="00836466">
        <w:rPr>
          <w:sz w:val="18"/>
          <w:szCs w:val="18"/>
        </w:rPr>
        <w:t>Human</w:t>
      </w:r>
      <w:proofErr w:type="spellEnd"/>
      <w:r w:rsidRPr="00836466">
        <w:rPr>
          <w:sz w:val="18"/>
          <w:szCs w:val="18"/>
        </w:rPr>
        <w:t xml:space="preserve"> </w:t>
      </w:r>
      <w:proofErr w:type="spellStart"/>
      <w:r w:rsidRPr="00836466">
        <w:rPr>
          <w:sz w:val="18"/>
          <w:szCs w:val="18"/>
        </w:rPr>
        <w:t>Rights</w:t>
      </w:r>
      <w:proofErr w:type="spellEnd"/>
      <w:r w:rsidRPr="00836466">
        <w:rPr>
          <w:sz w:val="18"/>
          <w:szCs w:val="18"/>
        </w:rPr>
        <w:t xml:space="preserve"> </w:t>
      </w:r>
      <w:proofErr w:type="spellStart"/>
      <w:r w:rsidRPr="00836466">
        <w:rPr>
          <w:sz w:val="18"/>
          <w:szCs w:val="18"/>
        </w:rPr>
        <w:t>Committee</w:t>
      </w:r>
      <w:proofErr w:type="spellEnd"/>
      <w:r w:rsidRPr="00836466">
        <w:rPr>
          <w:sz w:val="18"/>
          <w:szCs w:val="18"/>
        </w:rPr>
        <w:t xml:space="preserve">, General </w:t>
      </w:r>
      <w:proofErr w:type="spellStart"/>
      <w:r w:rsidRPr="00836466">
        <w:rPr>
          <w:sz w:val="18"/>
          <w:szCs w:val="18"/>
        </w:rPr>
        <w:t>Comment</w:t>
      </w:r>
      <w:proofErr w:type="spellEnd"/>
      <w:r w:rsidRPr="00836466">
        <w:rPr>
          <w:sz w:val="18"/>
          <w:szCs w:val="18"/>
        </w:rPr>
        <w:t xml:space="preserve"> 29, </w:t>
      </w:r>
      <w:proofErr w:type="spellStart"/>
      <w:r w:rsidRPr="00836466">
        <w:rPr>
          <w:sz w:val="18"/>
          <w:szCs w:val="18"/>
        </w:rPr>
        <w:t>States</w:t>
      </w:r>
      <w:proofErr w:type="spellEnd"/>
      <w:r w:rsidRPr="00836466">
        <w:rPr>
          <w:sz w:val="18"/>
          <w:szCs w:val="18"/>
        </w:rPr>
        <w:t xml:space="preserve"> of </w:t>
      </w:r>
      <w:proofErr w:type="spellStart"/>
      <w:r w:rsidRPr="00836466">
        <w:rPr>
          <w:sz w:val="18"/>
          <w:szCs w:val="18"/>
        </w:rPr>
        <w:t>Emergency</w:t>
      </w:r>
      <w:proofErr w:type="spellEnd"/>
      <w:r w:rsidRPr="00836466">
        <w:rPr>
          <w:sz w:val="18"/>
          <w:szCs w:val="18"/>
        </w:rPr>
        <w:t xml:space="preserve"> (</w:t>
      </w:r>
      <w:proofErr w:type="spellStart"/>
      <w:r w:rsidRPr="00836466">
        <w:rPr>
          <w:sz w:val="18"/>
          <w:szCs w:val="18"/>
        </w:rPr>
        <w:t>article</w:t>
      </w:r>
      <w:proofErr w:type="spellEnd"/>
      <w:r w:rsidRPr="00836466">
        <w:rPr>
          <w:sz w:val="18"/>
          <w:szCs w:val="18"/>
        </w:rPr>
        <w:t xml:space="preserve"> 4), U.N. </w:t>
      </w:r>
      <w:proofErr w:type="spellStart"/>
      <w:r w:rsidRPr="00836466">
        <w:rPr>
          <w:sz w:val="18"/>
          <w:szCs w:val="18"/>
        </w:rPr>
        <w:t>Doc</w:t>
      </w:r>
      <w:proofErr w:type="spellEnd"/>
      <w:r w:rsidRPr="00836466">
        <w:rPr>
          <w:sz w:val="18"/>
          <w:szCs w:val="18"/>
        </w:rPr>
        <w:t>. CCPR/C/21/</w:t>
      </w:r>
      <w:proofErr w:type="spellStart"/>
      <w:r w:rsidRPr="00836466">
        <w:rPr>
          <w:sz w:val="18"/>
          <w:szCs w:val="18"/>
        </w:rPr>
        <w:t>Rev</w:t>
      </w:r>
      <w:proofErr w:type="spellEnd"/>
      <w:r w:rsidRPr="00836466">
        <w:rPr>
          <w:sz w:val="18"/>
          <w:szCs w:val="18"/>
        </w:rPr>
        <w:t>.1/</w:t>
      </w:r>
      <w:proofErr w:type="spellStart"/>
      <w:r w:rsidRPr="00836466">
        <w:rPr>
          <w:sz w:val="18"/>
          <w:szCs w:val="18"/>
        </w:rPr>
        <w:t>Add</w:t>
      </w:r>
      <w:proofErr w:type="spellEnd"/>
      <w:r w:rsidRPr="00836466">
        <w:rPr>
          <w:sz w:val="18"/>
          <w:szCs w:val="18"/>
        </w:rPr>
        <w:t>.11 (2001), para.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76E"/>
    <w:multiLevelType w:val="hybridMultilevel"/>
    <w:tmpl w:val="E760F39A"/>
    <w:lvl w:ilvl="0" w:tplc="F5E01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92090"/>
    <w:multiLevelType w:val="multilevel"/>
    <w:tmpl w:val="F6F6E94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B6299"/>
    <w:multiLevelType w:val="hybridMultilevel"/>
    <w:tmpl w:val="7D50D25E"/>
    <w:lvl w:ilvl="0" w:tplc="EEA4A2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9550C"/>
    <w:multiLevelType w:val="hybridMultilevel"/>
    <w:tmpl w:val="EF8EC4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3277570"/>
    <w:multiLevelType w:val="hybridMultilevel"/>
    <w:tmpl w:val="38E64AA2"/>
    <w:lvl w:ilvl="0" w:tplc="04090017">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D4D15"/>
    <w:multiLevelType w:val="hybridMultilevel"/>
    <w:tmpl w:val="DA1C007E"/>
    <w:lvl w:ilvl="0" w:tplc="041F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6C3DF7"/>
    <w:multiLevelType w:val="hybridMultilevel"/>
    <w:tmpl w:val="8806F3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AD3DC9"/>
    <w:multiLevelType w:val="hybridMultilevel"/>
    <w:tmpl w:val="F20A24B4"/>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304C0E83"/>
    <w:multiLevelType w:val="hybridMultilevel"/>
    <w:tmpl w:val="1E82BBF2"/>
    <w:lvl w:ilvl="0" w:tplc="10A29CE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B5349A"/>
    <w:multiLevelType w:val="hybridMultilevel"/>
    <w:tmpl w:val="076AB33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38CE6C82"/>
    <w:multiLevelType w:val="hybridMultilevel"/>
    <w:tmpl w:val="0694DE8C"/>
    <w:lvl w:ilvl="0" w:tplc="69CE93A6">
      <w:start w:val="1"/>
      <w:numFmt w:val="decimal"/>
      <w:lvlText w:val="%1."/>
      <w:lvlJc w:val="left"/>
      <w:pPr>
        <w:ind w:left="47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nsid w:val="4C3C5509"/>
    <w:multiLevelType w:val="hybridMultilevel"/>
    <w:tmpl w:val="E800E9F6"/>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2">
    <w:nsid w:val="4E501EA8"/>
    <w:multiLevelType w:val="multilevel"/>
    <w:tmpl w:val="6F741A0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082ADC"/>
    <w:multiLevelType w:val="hybridMultilevel"/>
    <w:tmpl w:val="91726B40"/>
    <w:lvl w:ilvl="0" w:tplc="E3641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C0718"/>
    <w:multiLevelType w:val="hybridMultilevel"/>
    <w:tmpl w:val="CDC6A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736176"/>
    <w:multiLevelType w:val="hybridMultilevel"/>
    <w:tmpl w:val="8BD2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7463EF"/>
    <w:multiLevelType w:val="hybridMultilevel"/>
    <w:tmpl w:val="9DAA2B62"/>
    <w:lvl w:ilvl="0" w:tplc="69CE93A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1"/>
  </w:num>
  <w:num w:numId="5">
    <w:abstractNumId w:val="7"/>
  </w:num>
  <w:num w:numId="6">
    <w:abstractNumId w:val="3"/>
  </w:num>
  <w:num w:numId="7">
    <w:abstractNumId w:val="15"/>
  </w:num>
  <w:num w:numId="8">
    <w:abstractNumId w:val="6"/>
  </w:num>
  <w:num w:numId="9">
    <w:abstractNumId w:val="8"/>
  </w:num>
  <w:num w:numId="10">
    <w:abstractNumId w:val="13"/>
  </w:num>
  <w:num w:numId="11">
    <w:abstractNumId w:val="0"/>
  </w:num>
  <w:num w:numId="12">
    <w:abstractNumId w:val="16"/>
  </w:num>
  <w:num w:numId="13">
    <w:abstractNumId w:val="5"/>
  </w:num>
  <w:num w:numId="14">
    <w:abstractNumId w:val="14"/>
  </w:num>
  <w:num w:numId="15">
    <w:abstractNumId w:val="4"/>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425"/>
  <w:characterSpacingControl w:val="doNotCompress"/>
  <w:footnotePr>
    <w:footnote w:id="-1"/>
    <w:footnote w:id="0"/>
  </w:footnotePr>
  <w:endnotePr>
    <w:endnote w:id="-1"/>
    <w:endnote w:id="0"/>
  </w:endnotePr>
  <w:compat>
    <w:useFELayout/>
  </w:compat>
  <w:rsids>
    <w:rsidRoot w:val="00FA3BA9"/>
    <w:rsid w:val="00032D2B"/>
    <w:rsid w:val="00051A2C"/>
    <w:rsid w:val="00062EF4"/>
    <w:rsid w:val="000671F9"/>
    <w:rsid w:val="00087BED"/>
    <w:rsid w:val="000A60CE"/>
    <w:rsid w:val="000F2A1A"/>
    <w:rsid w:val="00113427"/>
    <w:rsid w:val="00130B8E"/>
    <w:rsid w:val="00140186"/>
    <w:rsid w:val="00143DC2"/>
    <w:rsid w:val="00156AD5"/>
    <w:rsid w:val="001A513A"/>
    <w:rsid w:val="001C02ED"/>
    <w:rsid w:val="001C3643"/>
    <w:rsid w:val="001F5325"/>
    <w:rsid w:val="001F72AA"/>
    <w:rsid w:val="00213EA5"/>
    <w:rsid w:val="00232512"/>
    <w:rsid w:val="002412F4"/>
    <w:rsid w:val="00257254"/>
    <w:rsid w:val="002E18D3"/>
    <w:rsid w:val="00355B64"/>
    <w:rsid w:val="003573BE"/>
    <w:rsid w:val="003B552C"/>
    <w:rsid w:val="003C4B55"/>
    <w:rsid w:val="003F2AD3"/>
    <w:rsid w:val="00406552"/>
    <w:rsid w:val="004335C6"/>
    <w:rsid w:val="0044721B"/>
    <w:rsid w:val="00455F73"/>
    <w:rsid w:val="0047725D"/>
    <w:rsid w:val="00490B68"/>
    <w:rsid w:val="004F510A"/>
    <w:rsid w:val="00515C5B"/>
    <w:rsid w:val="00571C49"/>
    <w:rsid w:val="005815C8"/>
    <w:rsid w:val="005A5217"/>
    <w:rsid w:val="005B505C"/>
    <w:rsid w:val="005B7D2C"/>
    <w:rsid w:val="005E4298"/>
    <w:rsid w:val="006035EC"/>
    <w:rsid w:val="00607334"/>
    <w:rsid w:val="00640D6C"/>
    <w:rsid w:val="0065030C"/>
    <w:rsid w:val="006B02AF"/>
    <w:rsid w:val="006E0133"/>
    <w:rsid w:val="007241A5"/>
    <w:rsid w:val="00744D06"/>
    <w:rsid w:val="007450C1"/>
    <w:rsid w:val="007611DE"/>
    <w:rsid w:val="00783D0C"/>
    <w:rsid w:val="00785DBD"/>
    <w:rsid w:val="007B107F"/>
    <w:rsid w:val="007B243E"/>
    <w:rsid w:val="007B57EE"/>
    <w:rsid w:val="007C4CD7"/>
    <w:rsid w:val="007D42DB"/>
    <w:rsid w:val="007E7EEE"/>
    <w:rsid w:val="008154A0"/>
    <w:rsid w:val="00823C2B"/>
    <w:rsid w:val="00836466"/>
    <w:rsid w:val="008749C3"/>
    <w:rsid w:val="00874D4C"/>
    <w:rsid w:val="008753A5"/>
    <w:rsid w:val="00887B3B"/>
    <w:rsid w:val="00890202"/>
    <w:rsid w:val="008D5D89"/>
    <w:rsid w:val="008E23B9"/>
    <w:rsid w:val="008F5E13"/>
    <w:rsid w:val="008F711E"/>
    <w:rsid w:val="009456C5"/>
    <w:rsid w:val="00986FAD"/>
    <w:rsid w:val="00A12BB9"/>
    <w:rsid w:val="00A828E8"/>
    <w:rsid w:val="00A92481"/>
    <w:rsid w:val="00AA0229"/>
    <w:rsid w:val="00AA0F46"/>
    <w:rsid w:val="00AB1F21"/>
    <w:rsid w:val="00B14757"/>
    <w:rsid w:val="00B44C12"/>
    <w:rsid w:val="00B51F12"/>
    <w:rsid w:val="00B85067"/>
    <w:rsid w:val="00B930EE"/>
    <w:rsid w:val="00B9380D"/>
    <w:rsid w:val="00BF2120"/>
    <w:rsid w:val="00C22495"/>
    <w:rsid w:val="00C347F7"/>
    <w:rsid w:val="00C57BDB"/>
    <w:rsid w:val="00C61FF8"/>
    <w:rsid w:val="00CB0241"/>
    <w:rsid w:val="00CD3770"/>
    <w:rsid w:val="00CD619B"/>
    <w:rsid w:val="00CE20D8"/>
    <w:rsid w:val="00CE31C5"/>
    <w:rsid w:val="00D51FCF"/>
    <w:rsid w:val="00D64C10"/>
    <w:rsid w:val="00DA6023"/>
    <w:rsid w:val="00DC79FB"/>
    <w:rsid w:val="00DE17D4"/>
    <w:rsid w:val="00E041F9"/>
    <w:rsid w:val="00E04913"/>
    <w:rsid w:val="00E11937"/>
    <w:rsid w:val="00E1194A"/>
    <w:rsid w:val="00E36517"/>
    <w:rsid w:val="00E46036"/>
    <w:rsid w:val="00E617B0"/>
    <w:rsid w:val="00E64568"/>
    <w:rsid w:val="00EA31CC"/>
    <w:rsid w:val="00EA750A"/>
    <w:rsid w:val="00ED5649"/>
    <w:rsid w:val="00F22523"/>
    <w:rsid w:val="00F446DE"/>
    <w:rsid w:val="00F4559F"/>
    <w:rsid w:val="00F75215"/>
    <w:rsid w:val="00FA3BA9"/>
    <w:rsid w:val="00FC1E3E"/>
    <w:rsid w:val="00FC3DDF"/>
    <w:rsid w:val="00FE4387"/>
    <w:rsid w:val="00FF50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9"/>
    <w:pPr>
      <w:spacing w:before="120" w:after="120"/>
      <w:ind w:left="284" w:right="284" w:firstLine="720"/>
      <w:jc w:val="both"/>
    </w:pPr>
    <w:rPr>
      <w:rFonts w:ascii="Times New Roman" w:hAnsi="Times New Roman"/>
      <w:noProof/>
    </w:rPr>
  </w:style>
  <w:style w:type="paragraph" w:styleId="Balk1">
    <w:name w:val="heading 1"/>
    <w:basedOn w:val="Normal"/>
    <w:next w:val="Normal"/>
    <w:link w:val="Balk1Char"/>
    <w:autoRedefine/>
    <w:uiPriority w:val="9"/>
    <w:qFormat/>
    <w:rsid w:val="00CB0241"/>
    <w:pPr>
      <w:keepNext/>
      <w:keepLines/>
      <w:spacing w:line="360" w:lineRule="auto"/>
      <w:ind w:left="0" w:right="0"/>
      <w:outlineLvl w:val="0"/>
    </w:pPr>
    <w:rPr>
      <w:rFonts w:eastAsiaTheme="majorEastAsia" w:cstheme="majorBidi"/>
      <w:b/>
      <w:bCs/>
      <w:szCs w:val="32"/>
    </w:rPr>
  </w:style>
  <w:style w:type="paragraph" w:styleId="Balk2">
    <w:name w:val="heading 2"/>
    <w:basedOn w:val="Normal"/>
    <w:next w:val="Normal"/>
    <w:link w:val="Balk2Char"/>
    <w:uiPriority w:val="9"/>
    <w:unhideWhenUsed/>
    <w:qFormat/>
    <w:rsid w:val="00CB0241"/>
    <w:pPr>
      <w:keepNext/>
      <w:keepLines/>
      <w:spacing w:before="0" w:after="0"/>
      <w:outlineLvl w:val="1"/>
    </w:pPr>
    <w:rPr>
      <w:rFonts w:eastAsiaTheme="majorEastAsia" w:cstheme="majorBidi"/>
      <w:b/>
      <w:bCs/>
      <w:szCs w:val="26"/>
    </w:rPr>
  </w:style>
  <w:style w:type="paragraph" w:styleId="Balk3">
    <w:name w:val="heading 3"/>
    <w:basedOn w:val="Normal"/>
    <w:next w:val="Normal"/>
    <w:link w:val="Balk3Char"/>
    <w:autoRedefine/>
    <w:uiPriority w:val="9"/>
    <w:unhideWhenUsed/>
    <w:qFormat/>
    <w:rsid w:val="00ED5649"/>
    <w:pPr>
      <w:keepNext/>
      <w:keepLines/>
      <w:spacing w:line="360" w:lineRule="auto"/>
      <w:ind w:right="0"/>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B0241"/>
    <w:rPr>
      <w:rFonts w:ascii="Times New Roman" w:eastAsiaTheme="majorEastAsia" w:hAnsi="Times New Roman" w:cstheme="majorBidi"/>
      <w:b/>
      <w:bCs/>
      <w:noProof/>
      <w:szCs w:val="26"/>
    </w:rPr>
  </w:style>
  <w:style w:type="character" w:customStyle="1" w:styleId="Balk1Char">
    <w:name w:val="Başlık 1 Char"/>
    <w:basedOn w:val="VarsaylanParagrafYazTipi"/>
    <w:link w:val="Balk1"/>
    <w:uiPriority w:val="9"/>
    <w:rsid w:val="00CB0241"/>
    <w:rPr>
      <w:rFonts w:ascii="Times New Roman" w:eastAsiaTheme="majorEastAsia" w:hAnsi="Times New Roman" w:cstheme="majorBidi"/>
      <w:b/>
      <w:bCs/>
      <w:noProof/>
      <w:szCs w:val="32"/>
    </w:rPr>
  </w:style>
  <w:style w:type="character" w:customStyle="1" w:styleId="Balk3Char">
    <w:name w:val="Başlık 3 Char"/>
    <w:basedOn w:val="VarsaylanParagrafYazTipi"/>
    <w:link w:val="Balk3"/>
    <w:uiPriority w:val="9"/>
    <w:rsid w:val="00ED5649"/>
    <w:rPr>
      <w:rFonts w:ascii="Times New Roman" w:eastAsiaTheme="majorEastAsia" w:hAnsi="Times New Roman" w:cstheme="majorBidi"/>
      <w:b/>
      <w:bCs/>
      <w:i/>
    </w:rPr>
  </w:style>
  <w:style w:type="paragraph" w:customStyle="1" w:styleId="metin">
    <w:name w:val="metin"/>
    <w:basedOn w:val="Normal"/>
    <w:rsid w:val="0047725D"/>
    <w:pPr>
      <w:spacing w:before="100" w:beforeAutospacing="1" w:after="100" w:afterAutospacing="1"/>
      <w:ind w:left="0" w:right="0" w:firstLine="0"/>
      <w:jc w:val="left"/>
    </w:pPr>
    <w:rPr>
      <w:rFonts w:ascii="Times" w:hAnsi="Times"/>
      <w:noProof w:val="0"/>
      <w:sz w:val="20"/>
      <w:szCs w:val="20"/>
      <w:lang w:val="en-US"/>
    </w:rPr>
  </w:style>
  <w:style w:type="character" w:customStyle="1" w:styleId="apple-converted-space">
    <w:name w:val="apple-converted-space"/>
    <w:basedOn w:val="VarsaylanParagrafYazTipi"/>
    <w:rsid w:val="0047725D"/>
  </w:style>
  <w:style w:type="character" w:styleId="AklamaBavurusu">
    <w:name w:val="annotation reference"/>
    <w:basedOn w:val="VarsaylanParagrafYazTipi"/>
    <w:uiPriority w:val="99"/>
    <w:semiHidden/>
    <w:unhideWhenUsed/>
    <w:rsid w:val="00032D2B"/>
    <w:rPr>
      <w:sz w:val="18"/>
      <w:szCs w:val="18"/>
    </w:rPr>
  </w:style>
  <w:style w:type="paragraph" w:styleId="AklamaMetni">
    <w:name w:val="annotation text"/>
    <w:basedOn w:val="Normal"/>
    <w:link w:val="AklamaMetniChar"/>
    <w:uiPriority w:val="99"/>
    <w:semiHidden/>
    <w:unhideWhenUsed/>
    <w:rsid w:val="00032D2B"/>
  </w:style>
  <w:style w:type="character" w:customStyle="1" w:styleId="AklamaMetniChar">
    <w:name w:val="Açıklama Metni Char"/>
    <w:basedOn w:val="VarsaylanParagrafYazTipi"/>
    <w:link w:val="AklamaMetni"/>
    <w:uiPriority w:val="99"/>
    <w:semiHidden/>
    <w:rsid w:val="00032D2B"/>
    <w:rPr>
      <w:rFonts w:ascii="Times New Roman" w:hAnsi="Times New Roman"/>
      <w:noProof/>
    </w:rPr>
  </w:style>
  <w:style w:type="paragraph" w:styleId="AklamaKonusu">
    <w:name w:val="annotation subject"/>
    <w:basedOn w:val="AklamaMetni"/>
    <w:next w:val="AklamaMetni"/>
    <w:link w:val="AklamaKonusuChar"/>
    <w:uiPriority w:val="99"/>
    <w:semiHidden/>
    <w:unhideWhenUsed/>
    <w:rsid w:val="00032D2B"/>
    <w:rPr>
      <w:b/>
      <w:bCs/>
      <w:sz w:val="20"/>
      <w:szCs w:val="20"/>
    </w:rPr>
  </w:style>
  <w:style w:type="character" w:customStyle="1" w:styleId="AklamaKonusuChar">
    <w:name w:val="Açıklama Konusu Char"/>
    <w:basedOn w:val="AklamaMetniChar"/>
    <w:link w:val="AklamaKonusu"/>
    <w:uiPriority w:val="99"/>
    <w:semiHidden/>
    <w:rsid w:val="00032D2B"/>
    <w:rPr>
      <w:rFonts w:ascii="Times New Roman" w:hAnsi="Times New Roman"/>
      <w:b/>
      <w:bCs/>
      <w:noProof/>
      <w:sz w:val="20"/>
      <w:szCs w:val="20"/>
    </w:rPr>
  </w:style>
  <w:style w:type="paragraph" w:styleId="BalonMetni">
    <w:name w:val="Balloon Text"/>
    <w:basedOn w:val="Normal"/>
    <w:link w:val="BalonMetniChar"/>
    <w:uiPriority w:val="99"/>
    <w:semiHidden/>
    <w:unhideWhenUsed/>
    <w:rsid w:val="00032D2B"/>
    <w:pPr>
      <w:spacing w:before="0"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32D2B"/>
    <w:rPr>
      <w:rFonts w:ascii="Lucida Grande" w:hAnsi="Lucida Grande" w:cs="Lucida Grande"/>
      <w:noProof/>
      <w:sz w:val="18"/>
      <w:szCs w:val="18"/>
    </w:rPr>
  </w:style>
  <w:style w:type="paragraph" w:styleId="ListeParagraf">
    <w:name w:val="List Paragraph"/>
    <w:basedOn w:val="Normal"/>
    <w:uiPriority w:val="34"/>
    <w:qFormat/>
    <w:rsid w:val="00836466"/>
    <w:pPr>
      <w:contextualSpacing/>
    </w:pPr>
  </w:style>
  <w:style w:type="paragraph" w:customStyle="1" w:styleId="FootnoteTextYA">
    <w:name w:val="Footnote Text YA"/>
    <w:autoRedefine/>
    <w:qFormat/>
    <w:rsid w:val="003C4B55"/>
    <w:pPr>
      <w:tabs>
        <w:tab w:val="left" w:pos="288"/>
      </w:tabs>
      <w:ind w:left="288" w:hanging="288"/>
      <w:jc w:val="both"/>
    </w:pPr>
    <w:rPr>
      <w:rFonts w:ascii="Times New Roman" w:eastAsiaTheme="majorEastAsia" w:hAnsi="Times New Roman" w:cs="Times New Roman"/>
      <w:sz w:val="20"/>
      <w:szCs w:val="20"/>
      <w:lang w:eastAsia="en-GB"/>
    </w:rPr>
  </w:style>
  <w:style w:type="character" w:styleId="DipnotBavurusu">
    <w:name w:val="footnote reference"/>
    <w:basedOn w:val="VarsaylanParagrafYazTipi"/>
    <w:uiPriority w:val="99"/>
    <w:unhideWhenUsed/>
    <w:rsid w:val="003C4B55"/>
    <w:rPr>
      <w:vertAlign w:val="superscript"/>
    </w:rPr>
  </w:style>
  <w:style w:type="paragraph" w:styleId="DipnotMetni">
    <w:name w:val="footnote text"/>
    <w:basedOn w:val="Normal"/>
    <w:link w:val="DipnotMetniChar"/>
    <w:uiPriority w:val="99"/>
    <w:unhideWhenUsed/>
    <w:rsid w:val="006E0133"/>
    <w:pPr>
      <w:spacing w:before="0" w:after="0"/>
    </w:pPr>
  </w:style>
  <w:style w:type="character" w:customStyle="1" w:styleId="DipnotMetniChar">
    <w:name w:val="Dipnot Metni Char"/>
    <w:basedOn w:val="VarsaylanParagrafYazTipi"/>
    <w:link w:val="DipnotMetni"/>
    <w:uiPriority w:val="99"/>
    <w:rsid w:val="006E0133"/>
    <w:rPr>
      <w:rFonts w:ascii="Times New Roman" w:hAnsi="Times New Roman"/>
      <w:noProof/>
    </w:rPr>
  </w:style>
  <w:style w:type="paragraph" w:styleId="NormalWeb">
    <w:name w:val="Normal (Web)"/>
    <w:basedOn w:val="Normal"/>
    <w:uiPriority w:val="99"/>
    <w:unhideWhenUsed/>
    <w:rsid w:val="006E0133"/>
    <w:pPr>
      <w:spacing w:before="100" w:beforeAutospacing="1" w:after="100" w:afterAutospacing="1"/>
      <w:ind w:left="0" w:right="0" w:firstLine="0"/>
      <w:jc w:val="left"/>
    </w:pPr>
    <w:rPr>
      <w:rFonts w:ascii="Times" w:hAnsi="Times" w:cs="Times New Roman"/>
      <w:noProof w:val="0"/>
      <w:sz w:val="20"/>
      <w:szCs w:val="20"/>
      <w:lang w:val="en-US"/>
    </w:rPr>
  </w:style>
  <w:style w:type="character" w:customStyle="1" w:styleId="wcdrendtitre">
    <w:name w:val="wcdrend_titre"/>
    <w:basedOn w:val="VarsaylanParagrafYazTipi"/>
    <w:rsid w:val="00E1194A"/>
  </w:style>
  <w:style w:type="character" w:customStyle="1" w:styleId="sb8d990e2">
    <w:name w:val="sb8d990e2"/>
    <w:basedOn w:val="VarsaylanParagrafYazTipi"/>
    <w:rsid w:val="007D42DB"/>
  </w:style>
  <w:style w:type="character" w:customStyle="1" w:styleId="s6b621b36">
    <w:name w:val="s6b621b36"/>
    <w:basedOn w:val="VarsaylanParagrafYazTipi"/>
    <w:rsid w:val="007D42DB"/>
  </w:style>
  <w:style w:type="character" w:customStyle="1" w:styleId="ju-005fpara--char">
    <w:name w:val="ju-005fpara--char"/>
    <w:basedOn w:val="VarsaylanParagrafYazTipi"/>
    <w:rsid w:val="0044721B"/>
    <w:rPr>
      <w:rFonts w:cs="Times New Roman"/>
    </w:rPr>
  </w:style>
  <w:style w:type="character" w:styleId="Kpr">
    <w:name w:val="Hyperlink"/>
    <w:rsid w:val="00DA6023"/>
    <w:rPr>
      <w:color w:val="0000FF"/>
      <w:u w:val="single"/>
    </w:rPr>
  </w:style>
  <w:style w:type="paragraph" w:styleId="Dzeltme">
    <w:name w:val="Revision"/>
    <w:hidden/>
    <w:uiPriority w:val="99"/>
    <w:semiHidden/>
    <w:rsid w:val="00AA0F46"/>
    <w:rPr>
      <w:rFonts w:ascii="Times New Roman" w:hAnsi="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49"/>
    <w:pPr>
      <w:spacing w:before="120" w:after="120"/>
      <w:ind w:left="284" w:right="284" w:firstLine="720"/>
      <w:jc w:val="both"/>
    </w:pPr>
    <w:rPr>
      <w:rFonts w:ascii="Times New Roman" w:hAnsi="Times New Roman"/>
      <w:noProof/>
    </w:rPr>
  </w:style>
  <w:style w:type="paragraph" w:styleId="Heading1">
    <w:name w:val="heading 1"/>
    <w:basedOn w:val="Normal"/>
    <w:next w:val="Normal"/>
    <w:link w:val="Heading1Char"/>
    <w:autoRedefine/>
    <w:uiPriority w:val="9"/>
    <w:qFormat/>
    <w:rsid w:val="00CB0241"/>
    <w:pPr>
      <w:keepNext/>
      <w:keepLines/>
      <w:spacing w:line="360" w:lineRule="auto"/>
      <w:ind w:left="0" w:right="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CB0241"/>
    <w:pPr>
      <w:keepNext/>
      <w:keepLines/>
      <w:spacing w:before="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D5649"/>
    <w:pPr>
      <w:keepNext/>
      <w:keepLines/>
      <w:spacing w:line="360" w:lineRule="auto"/>
      <w:ind w:right="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241"/>
    <w:rPr>
      <w:rFonts w:ascii="Times New Roman" w:eastAsiaTheme="majorEastAsia" w:hAnsi="Times New Roman" w:cstheme="majorBidi"/>
      <w:b/>
      <w:bCs/>
      <w:noProof/>
      <w:szCs w:val="26"/>
    </w:rPr>
  </w:style>
  <w:style w:type="character" w:customStyle="1" w:styleId="Heading1Char">
    <w:name w:val="Heading 1 Char"/>
    <w:basedOn w:val="DefaultParagraphFont"/>
    <w:link w:val="Heading1"/>
    <w:uiPriority w:val="9"/>
    <w:rsid w:val="00CB0241"/>
    <w:rPr>
      <w:rFonts w:ascii="Times New Roman" w:eastAsiaTheme="majorEastAsia" w:hAnsi="Times New Roman" w:cstheme="majorBidi"/>
      <w:b/>
      <w:bCs/>
      <w:noProof/>
      <w:szCs w:val="32"/>
    </w:rPr>
  </w:style>
  <w:style w:type="character" w:customStyle="1" w:styleId="Heading3Char">
    <w:name w:val="Heading 3 Char"/>
    <w:basedOn w:val="DefaultParagraphFont"/>
    <w:link w:val="Heading3"/>
    <w:uiPriority w:val="9"/>
    <w:rsid w:val="00ED5649"/>
    <w:rPr>
      <w:rFonts w:ascii="Times New Roman" w:eastAsiaTheme="majorEastAsia" w:hAnsi="Times New Roman" w:cstheme="majorBidi"/>
      <w:b/>
      <w:bCs/>
      <w:i/>
    </w:rPr>
  </w:style>
  <w:style w:type="paragraph" w:customStyle="1" w:styleId="metin">
    <w:name w:val="metin"/>
    <w:basedOn w:val="Normal"/>
    <w:rsid w:val="0047725D"/>
    <w:pPr>
      <w:spacing w:before="100" w:beforeAutospacing="1" w:after="100" w:afterAutospacing="1"/>
      <w:ind w:left="0" w:right="0" w:firstLine="0"/>
      <w:jc w:val="left"/>
    </w:pPr>
    <w:rPr>
      <w:rFonts w:ascii="Times" w:hAnsi="Times"/>
      <w:noProof w:val="0"/>
      <w:sz w:val="20"/>
      <w:szCs w:val="20"/>
      <w:lang w:val="en-US"/>
    </w:rPr>
  </w:style>
  <w:style w:type="character" w:customStyle="1" w:styleId="apple-converted-space">
    <w:name w:val="apple-converted-space"/>
    <w:basedOn w:val="DefaultParagraphFont"/>
    <w:rsid w:val="0047725D"/>
  </w:style>
  <w:style w:type="character" w:styleId="CommentReference">
    <w:name w:val="annotation reference"/>
    <w:basedOn w:val="DefaultParagraphFont"/>
    <w:uiPriority w:val="99"/>
    <w:semiHidden/>
    <w:unhideWhenUsed/>
    <w:rsid w:val="00032D2B"/>
    <w:rPr>
      <w:sz w:val="18"/>
      <w:szCs w:val="18"/>
    </w:rPr>
  </w:style>
  <w:style w:type="paragraph" w:styleId="CommentText">
    <w:name w:val="annotation text"/>
    <w:basedOn w:val="Normal"/>
    <w:link w:val="CommentTextChar"/>
    <w:uiPriority w:val="99"/>
    <w:semiHidden/>
    <w:unhideWhenUsed/>
    <w:rsid w:val="00032D2B"/>
  </w:style>
  <w:style w:type="character" w:customStyle="1" w:styleId="CommentTextChar">
    <w:name w:val="Comment Text Char"/>
    <w:basedOn w:val="DefaultParagraphFont"/>
    <w:link w:val="CommentText"/>
    <w:uiPriority w:val="99"/>
    <w:semiHidden/>
    <w:rsid w:val="00032D2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032D2B"/>
    <w:rPr>
      <w:b/>
      <w:bCs/>
      <w:sz w:val="20"/>
      <w:szCs w:val="20"/>
    </w:rPr>
  </w:style>
  <w:style w:type="character" w:customStyle="1" w:styleId="CommentSubjectChar">
    <w:name w:val="Comment Subject Char"/>
    <w:basedOn w:val="CommentTextChar"/>
    <w:link w:val="CommentSubject"/>
    <w:uiPriority w:val="99"/>
    <w:semiHidden/>
    <w:rsid w:val="00032D2B"/>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032D2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D2B"/>
    <w:rPr>
      <w:rFonts w:ascii="Lucida Grande" w:hAnsi="Lucida Grande" w:cs="Lucida Grande"/>
      <w:noProof/>
      <w:sz w:val="18"/>
      <w:szCs w:val="18"/>
    </w:rPr>
  </w:style>
  <w:style w:type="paragraph" w:styleId="ListParagraph">
    <w:name w:val="List Paragraph"/>
    <w:basedOn w:val="Normal"/>
    <w:uiPriority w:val="34"/>
    <w:qFormat/>
    <w:rsid w:val="00836466"/>
    <w:pPr>
      <w:contextualSpacing/>
    </w:pPr>
  </w:style>
  <w:style w:type="paragraph" w:customStyle="1" w:styleId="FootnoteTextYA">
    <w:name w:val="Footnote Text YA"/>
    <w:autoRedefine/>
    <w:qFormat/>
    <w:rsid w:val="003C4B55"/>
    <w:pPr>
      <w:tabs>
        <w:tab w:val="left" w:pos="288"/>
      </w:tabs>
      <w:ind w:left="288" w:hanging="288"/>
      <w:jc w:val="both"/>
    </w:pPr>
    <w:rPr>
      <w:rFonts w:ascii="Times New Roman" w:eastAsiaTheme="majorEastAsia" w:hAnsi="Times New Roman" w:cs="Times New Roman"/>
      <w:sz w:val="20"/>
      <w:szCs w:val="20"/>
      <w:lang w:eastAsia="en-GB"/>
    </w:rPr>
  </w:style>
  <w:style w:type="character" w:styleId="FootnoteReference">
    <w:name w:val="footnote reference"/>
    <w:basedOn w:val="DefaultParagraphFont"/>
    <w:uiPriority w:val="99"/>
    <w:unhideWhenUsed/>
    <w:rsid w:val="003C4B55"/>
    <w:rPr>
      <w:vertAlign w:val="superscript"/>
    </w:rPr>
  </w:style>
  <w:style w:type="paragraph" w:styleId="FootnoteText">
    <w:name w:val="footnote text"/>
    <w:basedOn w:val="Normal"/>
    <w:link w:val="FootnoteTextChar"/>
    <w:uiPriority w:val="99"/>
    <w:unhideWhenUsed/>
    <w:rsid w:val="006E0133"/>
    <w:pPr>
      <w:spacing w:before="0" w:after="0"/>
    </w:pPr>
  </w:style>
  <w:style w:type="character" w:customStyle="1" w:styleId="FootnoteTextChar">
    <w:name w:val="Footnote Text Char"/>
    <w:basedOn w:val="DefaultParagraphFont"/>
    <w:link w:val="FootnoteText"/>
    <w:uiPriority w:val="99"/>
    <w:rsid w:val="006E0133"/>
    <w:rPr>
      <w:rFonts w:ascii="Times New Roman" w:hAnsi="Times New Roman"/>
      <w:noProof/>
    </w:rPr>
  </w:style>
  <w:style w:type="paragraph" w:styleId="NormalWeb">
    <w:name w:val="Normal (Web)"/>
    <w:basedOn w:val="Normal"/>
    <w:uiPriority w:val="99"/>
    <w:unhideWhenUsed/>
    <w:rsid w:val="006E0133"/>
    <w:pPr>
      <w:spacing w:before="100" w:beforeAutospacing="1" w:after="100" w:afterAutospacing="1"/>
      <w:ind w:left="0" w:right="0" w:firstLine="0"/>
      <w:jc w:val="left"/>
    </w:pPr>
    <w:rPr>
      <w:rFonts w:ascii="Times" w:hAnsi="Times" w:cs="Times New Roman"/>
      <w:noProof w:val="0"/>
      <w:sz w:val="20"/>
      <w:szCs w:val="20"/>
      <w:lang w:val="en-US"/>
    </w:rPr>
  </w:style>
  <w:style w:type="character" w:customStyle="1" w:styleId="wcdrendtitre">
    <w:name w:val="wcdrend_titre"/>
    <w:basedOn w:val="DefaultParagraphFont"/>
    <w:rsid w:val="00E1194A"/>
  </w:style>
  <w:style w:type="character" w:customStyle="1" w:styleId="sb8d990e2">
    <w:name w:val="sb8d990e2"/>
    <w:basedOn w:val="DefaultParagraphFont"/>
    <w:rsid w:val="007D42DB"/>
  </w:style>
  <w:style w:type="character" w:customStyle="1" w:styleId="s6b621b36">
    <w:name w:val="s6b621b36"/>
    <w:basedOn w:val="DefaultParagraphFont"/>
    <w:rsid w:val="007D42DB"/>
  </w:style>
  <w:style w:type="character" w:customStyle="1" w:styleId="ju-005fpara--char">
    <w:name w:val="ju-005fpara--char"/>
    <w:basedOn w:val="DefaultParagraphFont"/>
    <w:rsid w:val="0044721B"/>
    <w:rPr>
      <w:rFonts w:cs="Times New Roman"/>
    </w:rPr>
  </w:style>
  <w:style w:type="character" w:styleId="Hyperlink">
    <w:name w:val="Hyperlink"/>
    <w:rsid w:val="00DA6023"/>
    <w:rPr>
      <w:color w:val="0000FF"/>
      <w:u w:val="single"/>
    </w:rPr>
  </w:style>
  <w:style w:type="paragraph" w:styleId="Revision">
    <w:name w:val="Revision"/>
    <w:hidden/>
    <w:uiPriority w:val="99"/>
    <w:semiHidden/>
    <w:rsid w:val="00AA0F46"/>
    <w:rPr>
      <w:rFonts w:ascii="Times New Roman" w:hAnsi="Times New Roman"/>
      <w:noProof/>
    </w:rPr>
  </w:style>
</w:styles>
</file>

<file path=word/webSettings.xml><?xml version="1.0" encoding="utf-8"?>
<w:webSettings xmlns:r="http://schemas.openxmlformats.org/officeDocument/2006/relationships" xmlns:w="http://schemas.openxmlformats.org/wordprocessingml/2006/main">
  <w:divs>
    <w:div w:id="116338685">
      <w:bodyDiv w:val="1"/>
      <w:marLeft w:val="0"/>
      <w:marRight w:val="0"/>
      <w:marTop w:val="0"/>
      <w:marBottom w:val="0"/>
      <w:divBdr>
        <w:top w:val="none" w:sz="0" w:space="0" w:color="auto"/>
        <w:left w:val="none" w:sz="0" w:space="0" w:color="auto"/>
        <w:bottom w:val="none" w:sz="0" w:space="0" w:color="auto"/>
        <w:right w:val="none" w:sz="0" w:space="0" w:color="auto"/>
      </w:divBdr>
    </w:div>
    <w:div w:id="179246049">
      <w:bodyDiv w:val="1"/>
      <w:marLeft w:val="0"/>
      <w:marRight w:val="0"/>
      <w:marTop w:val="0"/>
      <w:marBottom w:val="0"/>
      <w:divBdr>
        <w:top w:val="none" w:sz="0" w:space="0" w:color="auto"/>
        <w:left w:val="none" w:sz="0" w:space="0" w:color="auto"/>
        <w:bottom w:val="none" w:sz="0" w:space="0" w:color="auto"/>
        <w:right w:val="none" w:sz="0" w:space="0" w:color="auto"/>
      </w:divBdr>
    </w:div>
    <w:div w:id="1352074553">
      <w:bodyDiv w:val="1"/>
      <w:marLeft w:val="0"/>
      <w:marRight w:val="0"/>
      <w:marTop w:val="0"/>
      <w:marBottom w:val="0"/>
      <w:divBdr>
        <w:top w:val="none" w:sz="0" w:space="0" w:color="auto"/>
        <w:left w:val="none" w:sz="0" w:space="0" w:color="auto"/>
        <w:bottom w:val="none" w:sz="0" w:space="0" w:color="auto"/>
        <w:right w:val="none" w:sz="0" w:space="0" w:color="auto"/>
      </w:divBdr>
      <w:divsChild>
        <w:div w:id="796608753">
          <w:marLeft w:val="0"/>
          <w:marRight w:val="0"/>
          <w:marTop w:val="0"/>
          <w:marBottom w:val="0"/>
          <w:divBdr>
            <w:top w:val="none" w:sz="0" w:space="0" w:color="auto"/>
            <w:left w:val="none" w:sz="0" w:space="0" w:color="auto"/>
            <w:bottom w:val="none" w:sz="0" w:space="0" w:color="auto"/>
            <w:right w:val="none" w:sz="0" w:space="0" w:color="auto"/>
          </w:divBdr>
          <w:divsChild>
            <w:div w:id="570583999">
              <w:marLeft w:val="0"/>
              <w:marRight w:val="0"/>
              <w:marTop w:val="0"/>
              <w:marBottom w:val="0"/>
              <w:divBdr>
                <w:top w:val="none" w:sz="0" w:space="0" w:color="auto"/>
                <w:left w:val="none" w:sz="0" w:space="0" w:color="auto"/>
                <w:bottom w:val="none" w:sz="0" w:space="0" w:color="auto"/>
                <w:right w:val="none" w:sz="0" w:space="0" w:color="auto"/>
              </w:divBdr>
              <w:divsChild>
                <w:div w:id="13485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4941">
      <w:bodyDiv w:val="1"/>
      <w:marLeft w:val="0"/>
      <w:marRight w:val="0"/>
      <w:marTop w:val="0"/>
      <w:marBottom w:val="0"/>
      <w:divBdr>
        <w:top w:val="none" w:sz="0" w:space="0" w:color="auto"/>
        <w:left w:val="none" w:sz="0" w:space="0" w:color="auto"/>
        <w:bottom w:val="none" w:sz="0" w:space="0" w:color="auto"/>
        <w:right w:val="none" w:sz="0" w:space="0" w:color="auto"/>
      </w:divBdr>
      <w:divsChild>
        <w:div w:id="1407462059">
          <w:marLeft w:val="0"/>
          <w:marRight w:val="0"/>
          <w:marTop w:val="0"/>
          <w:marBottom w:val="0"/>
          <w:divBdr>
            <w:top w:val="none" w:sz="0" w:space="0" w:color="auto"/>
            <w:left w:val="none" w:sz="0" w:space="0" w:color="auto"/>
            <w:bottom w:val="none" w:sz="0" w:space="0" w:color="auto"/>
            <w:right w:val="none" w:sz="0" w:space="0" w:color="auto"/>
          </w:divBdr>
        </w:div>
      </w:divsChild>
    </w:div>
    <w:div w:id="1784034252">
      <w:bodyDiv w:val="1"/>
      <w:marLeft w:val="0"/>
      <w:marRight w:val="0"/>
      <w:marTop w:val="0"/>
      <w:marBottom w:val="0"/>
      <w:divBdr>
        <w:top w:val="none" w:sz="0" w:space="0" w:color="auto"/>
        <w:left w:val="none" w:sz="0" w:space="0" w:color="auto"/>
        <w:bottom w:val="none" w:sz="0" w:space="0" w:color="auto"/>
        <w:right w:val="none" w:sz="0" w:space="0" w:color="auto"/>
      </w:divBdr>
      <w:divsChild>
        <w:div w:id="1628854418">
          <w:marLeft w:val="0"/>
          <w:marRight w:val="0"/>
          <w:marTop w:val="0"/>
          <w:marBottom w:val="0"/>
          <w:divBdr>
            <w:top w:val="none" w:sz="0" w:space="0" w:color="auto"/>
            <w:left w:val="none" w:sz="0" w:space="0" w:color="auto"/>
            <w:bottom w:val="none" w:sz="0" w:space="0" w:color="auto"/>
            <w:right w:val="none" w:sz="0" w:space="0" w:color="auto"/>
          </w:divBdr>
          <w:divsChild>
            <w:div w:id="545222660">
              <w:marLeft w:val="0"/>
              <w:marRight w:val="0"/>
              <w:marTop w:val="0"/>
              <w:marBottom w:val="0"/>
              <w:divBdr>
                <w:top w:val="none" w:sz="0" w:space="0" w:color="auto"/>
                <w:left w:val="none" w:sz="0" w:space="0" w:color="auto"/>
                <w:bottom w:val="none" w:sz="0" w:space="0" w:color="auto"/>
                <w:right w:val="none" w:sz="0" w:space="0" w:color="auto"/>
              </w:divBdr>
              <w:divsChild>
                <w:div w:id="1941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9655</Words>
  <Characters>55040</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creator>
  <cp:lastModifiedBy>incisolakakman</cp:lastModifiedBy>
  <cp:revision>3</cp:revision>
  <cp:lastPrinted>2017-05-30T07:56:00Z</cp:lastPrinted>
  <dcterms:created xsi:type="dcterms:W3CDTF">2017-06-22T20:53:00Z</dcterms:created>
  <dcterms:modified xsi:type="dcterms:W3CDTF">2017-06-22T22:26:00Z</dcterms:modified>
</cp:coreProperties>
</file>