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C4" w:rsidRPr="00DF0296" w:rsidRDefault="006544C4" w:rsidP="00DF0296">
      <w:pPr>
        <w:jc w:val="center"/>
        <w:rPr>
          <w:lang w:val="fr-FR"/>
        </w:rPr>
      </w:pPr>
    </w:p>
    <w:p w:rsidR="0094178F" w:rsidRPr="00DF0296" w:rsidRDefault="0094178F" w:rsidP="00DF0296">
      <w:pPr>
        <w:jc w:val="center"/>
        <w:rPr>
          <w:sz w:val="4"/>
          <w:szCs w:val="4"/>
          <w:lang w:val="fr-FR"/>
        </w:rPr>
      </w:pPr>
    </w:p>
    <w:p w:rsidR="006544C4" w:rsidRPr="00DF0296" w:rsidRDefault="006C279B" w:rsidP="00DF0296">
      <w:pPr>
        <w:pStyle w:val="DecHTitle"/>
        <w:rPr>
          <w:lang w:val="fr-FR"/>
        </w:rPr>
      </w:pPr>
      <w:r w:rsidRPr="00DF0296">
        <w:rPr>
          <w:szCs w:val="24"/>
          <w:lang w:val="fr-FR"/>
        </w:rPr>
        <w:t>DEUXIÈME SECTION</w:t>
      </w:r>
    </w:p>
    <w:p w:rsidR="006544C4" w:rsidRPr="00DF0296" w:rsidRDefault="006544C4" w:rsidP="00DF0296">
      <w:pPr>
        <w:pStyle w:val="DecHTitle"/>
        <w:rPr>
          <w:caps/>
          <w:sz w:val="32"/>
          <w:lang w:val="fr-FR"/>
        </w:rPr>
      </w:pPr>
      <w:r w:rsidRPr="00DF0296">
        <w:rPr>
          <w:lang w:val="fr-FR"/>
        </w:rPr>
        <w:t>DÉCISION</w:t>
      </w:r>
    </w:p>
    <w:p w:rsidR="006544C4" w:rsidRPr="00DF0296" w:rsidRDefault="006C279B" w:rsidP="00DF0296">
      <w:pPr>
        <w:pStyle w:val="ECHRTitleCentre2"/>
        <w:rPr>
          <w:lang w:val="fr-FR"/>
        </w:rPr>
      </w:pPr>
      <w:r w:rsidRPr="00DF0296">
        <w:rPr>
          <w:lang w:val="fr-FR"/>
        </w:rPr>
        <w:t>Requête n</w:t>
      </w:r>
      <w:r w:rsidRPr="00DF0296">
        <w:rPr>
          <w:vertAlign w:val="superscript"/>
          <w:lang w:val="fr-FR"/>
        </w:rPr>
        <w:t>o</w:t>
      </w:r>
      <w:r w:rsidR="006544C4" w:rsidRPr="00DF0296">
        <w:rPr>
          <w:lang w:val="fr-FR"/>
        </w:rPr>
        <w:t xml:space="preserve"> </w:t>
      </w:r>
      <w:r w:rsidRPr="00DF0296">
        <w:rPr>
          <w:lang w:val="fr-FR"/>
        </w:rPr>
        <w:t>70478/16</w:t>
      </w:r>
      <w:r w:rsidR="006544C4" w:rsidRPr="00DF0296">
        <w:rPr>
          <w:lang w:val="fr-FR"/>
        </w:rPr>
        <w:br/>
      </w:r>
      <w:proofErr w:type="spellStart"/>
      <w:r w:rsidRPr="00DF0296">
        <w:rPr>
          <w:lang w:val="fr-FR"/>
        </w:rPr>
        <w:t>Gökhan</w:t>
      </w:r>
      <w:proofErr w:type="spellEnd"/>
      <w:r w:rsidRPr="00DF0296">
        <w:rPr>
          <w:lang w:val="fr-FR"/>
        </w:rPr>
        <w:t xml:space="preserve"> KÖKSAL</w:t>
      </w:r>
      <w:r w:rsidRPr="00DF0296">
        <w:rPr>
          <w:lang w:val="fr-FR"/>
        </w:rPr>
        <w:br/>
      </w:r>
      <w:r w:rsidR="006544C4" w:rsidRPr="00DF0296">
        <w:rPr>
          <w:lang w:val="fr-FR"/>
        </w:rPr>
        <w:t xml:space="preserve">contre </w:t>
      </w:r>
      <w:r w:rsidRPr="00DF0296">
        <w:rPr>
          <w:lang w:val="fr-FR"/>
        </w:rPr>
        <w:t>la Turquie</w:t>
      </w:r>
    </w:p>
    <w:p w:rsidR="006C279B" w:rsidRPr="00DF0296" w:rsidRDefault="006C279B" w:rsidP="00DF0296">
      <w:pPr>
        <w:pStyle w:val="ECHRPara"/>
        <w:rPr>
          <w:lang w:val="fr-FR"/>
        </w:rPr>
      </w:pPr>
      <w:r w:rsidRPr="00DF0296">
        <w:rPr>
          <w:lang w:val="fr-FR"/>
        </w:rPr>
        <w:t>La Cour européenne des droits de l</w:t>
      </w:r>
      <w:r w:rsidR="00DF0296" w:rsidRPr="00DF0296">
        <w:rPr>
          <w:lang w:val="fr-FR"/>
        </w:rPr>
        <w:t>’</w:t>
      </w:r>
      <w:r w:rsidRPr="00DF0296">
        <w:rPr>
          <w:lang w:val="fr-FR"/>
        </w:rPr>
        <w:t>homme (deuxième section), siégeant le 6 juin 2017 en une chambre composée de :</w:t>
      </w:r>
    </w:p>
    <w:p w:rsidR="00EE422B" w:rsidRPr="00DF0296" w:rsidRDefault="006C279B" w:rsidP="00DF0296">
      <w:pPr>
        <w:pStyle w:val="ECHRDecisionBody"/>
        <w:rPr>
          <w:lang w:val="fr-FR"/>
        </w:rPr>
      </w:pPr>
      <w:r w:rsidRPr="00DF0296">
        <w:rPr>
          <w:lang w:val="fr-FR"/>
        </w:rPr>
        <w:tab/>
        <w:t>Robert Spano,</w:t>
      </w:r>
      <w:r w:rsidRPr="00DF0296">
        <w:rPr>
          <w:i/>
          <w:lang w:val="fr-FR"/>
        </w:rPr>
        <w:t xml:space="preserve"> président,</w:t>
      </w:r>
      <w:r w:rsidRPr="00DF0296">
        <w:rPr>
          <w:i/>
          <w:lang w:val="fr-FR"/>
        </w:rPr>
        <w:br/>
      </w:r>
      <w:r w:rsidRPr="00DF0296">
        <w:rPr>
          <w:lang w:val="fr-FR"/>
        </w:rPr>
        <w:tab/>
      </w:r>
      <w:proofErr w:type="spellStart"/>
      <w:r w:rsidRPr="00DF0296">
        <w:rPr>
          <w:lang w:val="fr-FR"/>
        </w:rPr>
        <w:t>Ledi</w:t>
      </w:r>
      <w:proofErr w:type="spellEnd"/>
      <w:r w:rsidRPr="00DF0296">
        <w:rPr>
          <w:lang w:val="fr-FR"/>
        </w:rPr>
        <w:t xml:space="preserve"> </w:t>
      </w:r>
      <w:proofErr w:type="spellStart"/>
      <w:r w:rsidRPr="00DF0296">
        <w:rPr>
          <w:lang w:val="fr-FR"/>
        </w:rPr>
        <w:t>Bianku</w:t>
      </w:r>
      <w:proofErr w:type="spellEnd"/>
      <w:r w:rsidRPr="00DF0296">
        <w:rPr>
          <w:lang w:val="fr-FR"/>
        </w:rPr>
        <w:t>,</w:t>
      </w:r>
      <w:r w:rsidRPr="00DF0296">
        <w:rPr>
          <w:i/>
          <w:lang w:val="fr-FR"/>
        </w:rPr>
        <w:br/>
      </w:r>
      <w:r w:rsidRPr="00DF0296">
        <w:rPr>
          <w:lang w:val="fr-FR"/>
        </w:rPr>
        <w:tab/>
      </w:r>
      <w:proofErr w:type="spellStart"/>
      <w:r w:rsidRPr="00DF0296">
        <w:rPr>
          <w:lang w:val="fr-FR"/>
        </w:rPr>
        <w:t>Işıl</w:t>
      </w:r>
      <w:proofErr w:type="spellEnd"/>
      <w:r w:rsidRPr="00DF0296">
        <w:rPr>
          <w:lang w:val="fr-FR"/>
        </w:rPr>
        <w:t xml:space="preserve"> </w:t>
      </w:r>
      <w:proofErr w:type="spellStart"/>
      <w:r w:rsidRPr="00DF0296">
        <w:rPr>
          <w:lang w:val="fr-FR"/>
        </w:rPr>
        <w:t>Karakaş</w:t>
      </w:r>
      <w:proofErr w:type="spellEnd"/>
      <w:r w:rsidRPr="00DF0296">
        <w:rPr>
          <w:lang w:val="fr-FR"/>
        </w:rPr>
        <w:t>,</w:t>
      </w:r>
    </w:p>
    <w:p w:rsidR="006C279B" w:rsidRPr="00DF0296" w:rsidRDefault="00EE422B" w:rsidP="00DF0296">
      <w:pPr>
        <w:pStyle w:val="ECHRDecisionBody"/>
        <w:rPr>
          <w:lang w:val="fr-FR"/>
        </w:rPr>
      </w:pPr>
      <w:r w:rsidRPr="00DF0296">
        <w:rPr>
          <w:lang w:val="fr-FR"/>
        </w:rPr>
        <w:tab/>
      </w:r>
      <w:proofErr w:type="spellStart"/>
      <w:r w:rsidRPr="00DF0296">
        <w:rPr>
          <w:lang w:val="fr-FR"/>
        </w:rPr>
        <w:t>Nebojša</w:t>
      </w:r>
      <w:proofErr w:type="spellEnd"/>
      <w:r w:rsidRPr="00DF0296">
        <w:rPr>
          <w:lang w:val="fr-FR"/>
        </w:rPr>
        <w:t xml:space="preserve"> </w:t>
      </w:r>
      <w:proofErr w:type="spellStart"/>
      <w:r w:rsidRPr="00DF0296">
        <w:rPr>
          <w:lang w:val="fr-FR"/>
        </w:rPr>
        <w:t>Vučinić</w:t>
      </w:r>
      <w:proofErr w:type="spellEnd"/>
      <w:r w:rsidR="006C279B" w:rsidRPr="00DF0296">
        <w:rPr>
          <w:i/>
          <w:lang w:val="fr-FR"/>
        </w:rPr>
        <w:br/>
      </w:r>
      <w:r w:rsidR="006C279B" w:rsidRPr="00DF0296">
        <w:rPr>
          <w:lang w:val="fr-FR"/>
        </w:rPr>
        <w:tab/>
      </w:r>
      <w:proofErr w:type="spellStart"/>
      <w:r w:rsidR="006C279B" w:rsidRPr="00DF0296">
        <w:rPr>
          <w:lang w:val="fr-FR"/>
        </w:rPr>
        <w:t>Valeriu</w:t>
      </w:r>
      <w:proofErr w:type="spellEnd"/>
      <w:r w:rsidR="006C279B" w:rsidRPr="00DF0296">
        <w:rPr>
          <w:lang w:val="fr-FR"/>
        </w:rPr>
        <w:t xml:space="preserve"> </w:t>
      </w:r>
      <w:proofErr w:type="spellStart"/>
      <w:r w:rsidR="006C279B" w:rsidRPr="00DF0296">
        <w:rPr>
          <w:lang w:val="fr-FR"/>
        </w:rPr>
        <w:t>Griţco</w:t>
      </w:r>
      <w:proofErr w:type="spellEnd"/>
      <w:r w:rsidR="006C279B" w:rsidRPr="00DF0296">
        <w:rPr>
          <w:lang w:val="fr-FR"/>
        </w:rPr>
        <w:t>,</w:t>
      </w:r>
      <w:r w:rsidR="006C279B" w:rsidRPr="00DF0296">
        <w:rPr>
          <w:i/>
          <w:lang w:val="fr-FR"/>
        </w:rPr>
        <w:br/>
      </w:r>
      <w:r w:rsidR="006C279B" w:rsidRPr="00DF0296">
        <w:rPr>
          <w:lang w:val="fr-FR"/>
        </w:rPr>
        <w:tab/>
        <w:t xml:space="preserve">Jon </w:t>
      </w:r>
      <w:proofErr w:type="spellStart"/>
      <w:r w:rsidR="006C279B" w:rsidRPr="00DF0296">
        <w:rPr>
          <w:lang w:val="fr-FR"/>
        </w:rPr>
        <w:t>Fridrik</w:t>
      </w:r>
      <w:proofErr w:type="spellEnd"/>
      <w:r w:rsidR="006C279B" w:rsidRPr="00DF0296">
        <w:rPr>
          <w:lang w:val="fr-FR"/>
        </w:rPr>
        <w:t xml:space="preserve"> </w:t>
      </w:r>
      <w:proofErr w:type="spellStart"/>
      <w:r w:rsidR="006C279B" w:rsidRPr="00DF0296">
        <w:rPr>
          <w:lang w:val="fr-FR"/>
        </w:rPr>
        <w:t>Kjølbro</w:t>
      </w:r>
      <w:proofErr w:type="spellEnd"/>
      <w:r w:rsidR="006C279B" w:rsidRPr="00DF0296">
        <w:rPr>
          <w:lang w:val="fr-FR"/>
        </w:rPr>
        <w:t>,</w:t>
      </w:r>
      <w:r w:rsidR="006C279B" w:rsidRPr="00DF0296">
        <w:rPr>
          <w:i/>
          <w:lang w:val="fr-FR"/>
        </w:rPr>
        <w:br/>
      </w:r>
      <w:r w:rsidR="006C279B" w:rsidRPr="00DF0296">
        <w:rPr>
          <w:lang w:val="fr-FR"/>
        </w:rPr>
        <w:tab/>
        <w:t xml:space="preserve">Stéphanie </w:t>
      </w:r>
      <w:proofErr w:type="spellStart"/>
      <w:r w:rsidR="006C279B" w:rsidRPr="00DF0296">
        <w:rPr>
          <w:lang w:val="fr-FR"/>
        </w:rPr>
        <w:t>Mourou-Vikström</w:t>
      </w:r>
      <w:proofErr w:type="spellEnd"/>
      <w:r w:rsidR="006C279B" w:rsidRPr="00DF0296">
        <w:rPr>
          <w:lang w:val="fr-FR"/>
        </w:rPr>
        <w:t>,</w:t>
      </w:r>
      <w:r w:rsidRPr="00DF0296">
        <w:rPr>
          <w:lang w:val="fr-FR"/>
        </w:rPr>
        <w:t xml:space="preserve"> </w:t>
      </w:r>
      <w:r w:rsidR="006C279B" w:rsidRPr="00DF0296">
        <w:rPr>
          <w:i/>
          <w:lang w:val="fr-FR"/>
        </w:rPr>
        <w:t>juges,</w:t>
      </w:r>
    </w:p>
    <w:p w:rsidR="006C279B" w:rsidRPr="00DF0296" w:rsidRDefault="006C279B" w:rsidP="00DF0296">
      <w:pPr>
        <w:pStyle w:val="ECHRPara"/>
        <w:ind w:firstLine="0"/>
        <w:rPr>
          <w:lang w:val="fr-FR"/>
        </w:rPr>
      </w:pPr>
      <w:proofErr w:type="gramStart"/>
      <w:r w:rsidRPr="00DF0296">
        <w:rPr>
          <w:lang w:val="fr-FR"/>
        </w:rPr>
        <w:t>et</w:t>
      </w:r>
      <w:proofErr w:type="gramEnd"/>
      <w:r w:rsidRPr="00DF0296">
        <w:rPr>
          <w:lang w:val="fr-FR"/>
        </w:rPr>
        <w:t xml:space="preserve"> de Stanley Naismith, </w:t>
      </w:r>
      <w:r w:rsidRPr="00DF0296">
        <w:rPr>
          <w:i/>
          <w:lang w:val="fr-FR"/>
        </w:rPr>
        <w:t>greffier</w:t>
      </w:r>
      <w:r w:rsidRPr="00DF0296">
        <w:rPr>
          <w:i/>
          <w:iCs/>
          <w:lang w:val="fr-FR"/>
        </w:rPr>
        <w:t xml:space="preserve"> d</w:t>
      </w:r>
      <w:r w:rsidRPr="00DF0296">
        <w:rPr>
          <w:i/>
          <w:lang w:val="fr-FR"/>
        </w:rPr>
        <w:t>e section</w:t>
      </w:r>
      <w:r w:rsidRPr="00DF0296">
        <w:rPr>
          <w:lang w:val="fr-FR"/>
        </w:rPr>
        <w:t>,</w:t>
      </w:r>
    </w:p>
    <w:p w:rsidR="006C279B" w:rsidRPr="00DF0296" w:rsidRDefault="006C279B" w:rsidP="00DF0296">
      <w:pPr>
        <w:pStyle w:val="ECHRPara"/>
        <w:rPr>
          <w:lang w:val="fr-FR"/>
        </w:rPr>
      </w:pPr>
      <w:r w:rsidRPr="00DF0296">
        <w:rPr>
          <w:lang w:val="fr-FR"/>
        </w:rPr>
        <w:t>Vu la requête susmentionnée introduite le 4 novembre 2016,</w:t>
      </w:r>
    </w:p>
    <w:p w:rsidR="006C279B" w:rsidRPr="00DF0296" w:rsidRDefault="006C279B" w:rsidP="00DF0296">
      <w:pPr>
        <w:pStyle w:val="ECHRPara"/>
        <w:rPr>
          <w:color w:val="000000"/>
          <w:lang w:val="fr-FR"/>
        </w:rPr>
      </w:pPr>
      <w:r w:rsidRPr="00DF0296">
        <w:rPr>
          <w:lang w:val="fr-FR"/>
        </w:rPr>
        <w:t>Après en avoir délibéré, rend la décision suivante :</w:t>
      </w:r>
    </w:p>
    <w:p w:rsidR="006C279B" w:rsidRPr="00DF0296" w:rsidRDefault="006C279B" w:rsidP="00DF0296">
      <w:pPr>
        <w:pStyle w:val="ECHRTitle1"/>
        <w:rPr>
          <w:lang w:val="fr-FR"/>
        </w:rPr>
      </w:pPr>
      <w:r w:rsidRPr="00DF0296">
        <w:rPr>
          <w:lang w:val="fr-FR"/>
        </w:rPr>
        <w:t>EN FAIT</w:t>
      </w:r>
    </w:p>
    <w:p w:rsidR="006C279B" w:rsidRPr="00DF0296" w:rsidRDefault="006C279B" w:rsidP="00DF0296">
      <w:pPr>
        <w:pStyle w:val="ECHRPara"/>
        <w:rPr>
          <w:lang w:val="fr-FR"/>
        </w:rPr>
      </w:pPr>
      <w:r w:rsidRPr="00DF0296">
        <w:rPr>
          <w:lang w:val="fr-FR"/>
        </w:rPr>
        <w:t xml:space="preserve">1.  Le requérant, M. </w:t>
      </w:r>
      <w:proofErr w:type="spellStart"/>
      <w:r w:rsidRPr="00DF0296">
        <w:rPr>
          <w:lang w:val="fr-FR"/>
        </w:rPr>
        <w:t>Gökhan</w:t>
      </w:r>
      <w:proofErr w:type="spellEnd"/>
      <w:r w:rsidRPr="00DF0296">
        <w:rPr>
          <w:lang w:val="fr-FR"/>
        </w:rPr>
        <w:t xml:space="preserve"> </w:t>
      </w:r>
      <w:proofErr w:type="spellStart"/>
      <w:r w:rsidRPr="00DF0296">
        <w:rPr>
          <w:lang w:val="fr-FR"/>
        </w:rPr>
        <w:t>Köksal</w:t>
      </w:r>
      <w:proofErr w:type="spellEnd"/>
      <w:r w:rsidRPr="00DF0296">
        <w:rPr>
          <w:lang w:val="fr-FR"/>
        </w:rPr>
        <w:t>, est un ressortissant turc né en 1978 et résidant à Ankara.</w:t>
      </w:r>
    </w:p>
    <w:p w:rsidR="006C279B" w:rsidRPr="00DF0296" w:rsidRDefault="006C279B" w:rsidP="00DF0296">
      <w:pPr>
        <w:pStyle w:val="ECHRHeading2"/>
        <w:rPr>
          <w:lang w:val="fr-FR"/>
        </w:rPr>
      </w:pPr>
      <w:r w:rsidRPr="00DF0296">
        <w:rPr>
          <w:lang w:val="fr-FR"/>
        </w:rPr>
        <w:t>A.  Les circonstances de l</w:t>
      </w:r>
      <w:r w:rsidR="00DF0296" w:rsidRPr="00DF0296">
        <w:rPr>
          <w:lang w:val="fr-FR"/>
        </w:rPr>
        <w:t>’</w:t>
      </w:r>
      <w:r w:rsidRPr="00DF0296">
        <w:rPr>
          <w:lang w:val="fr-FR"/>
        </w:rPr>
        <w:t>espèce</w:t>
      </w:r>
    </w:p>
    <w:p w:rsidR="006C279B" w:rsidRPr="00DF0296" w:rsidRDefault="006C279B" w:rsidP="00DF0296">
      <w:pPr>
        <w:pStyle w:val="ECHRPara"/>
        <w:rPr>
          <w:lang w:val="fr-FR"/>
        </w:rPr>
      </w:pPr>
      <w:r w:rsidRPr="00DF0296">
        <w:rPr>
          <w:lang w:val="fr-FR"/>
        </w:rPr>
        <w:t>2.  Les faits de la cause, tels qu</w:t>
      </w:r>
      <w:r w:rsidR="00DF0296" w:rsidRPr="00DF0296">
        <w:rPr>
          <w:lang w:val="fr-FR"/>
        </w:rPr>
        <w:t>’</w:t>
      </w:r>
      <w:r w:rsidRPr="00DF0296">
        <w:rPr>
          <w:lang w:val="fr-FR"/>
        </w:rPr>
        <w:t>ils ont été exposés par le requérant, peuvent se résumer comme suit.</w:t>
      </w:r>
    </w:p>
    <w:p w:rsidR="006C279B" w:rsidRPr="00DF0296" w:rsidRDefault="006C279B" w:rsidP="00DF0296">
      <w:pPr>
        <w:pStyle w:val="ECHRPara"/>
        <w:rPr>
          <w:lang w:val="fr-FR"/>
        </w:rPr>
      </w:pPr>
      <w:r w:rsidRPr="00DF0296">
        <w:rPr>
          <w:lang w:val="fr-FR"/>
        </w:rPr>
        <w:t>3.  À l</w:t>
      </w:r>
      <w:r w:rsidR="00DF0296" w:rsidRPr="00DF0296">
        <w:rPr>
          <w:lang w:val="fr-FR"/>
        </w:rPr>
        <w:t>’</w:t>
      </w:r>
      <w:r w:rsidRPr="00DF0296">
        <w:rPr>
          <w:lang w:val="fr-FR"/>
        </w:rPr>
        <w:t>époque des faits, le requérant était instituteur à l</w:t>
      </w:r>
      <w:r w:rsidR="00DF0296" w:rsidRPr="00DF0296">
        <w:rPr>
          <w:lang w:val="fr-FR"/>
        </w:rPr>
        <w:t>’</w:t>
      </w:r>
      <w:r w:rsidRPr="00DF0296">
        <w:rPr>
          <w:lang w:val="fr-FR"/>
        </w:rPr>
        <w:t xml:space="preserve">école primaire « 1071 </w:t>
      </w:r>
      <w:proofErr w:type="spellStart"/>
      <w:r w:rsidRPr="00DF0296">
        <w:rPr>
          <w:lang w:val="fr-FR"/>
        </w:rPr>
        <w:t>Malazgirt</w:t>
      </w:r>
      <w:proofErr w:type="spellEnd"/>
      <w:r w:rsidRPr="00DF0296">
        <w:rPr>
          <w:lang w:val="fr-FR"/>
        </w:rPr>
        <w:t> », à Erzurum.</w:t>
      </w:r>
    </w:p>
    <w:p w:rsidR="006C279B" w:rsidRPr="00DF0296" w:rsidRDefault="006C279B" w:rsidP="00DF0296">
      <w:pPr>
        <w:pStyle w:val="ECHRPara"/>
        <w:rPr>
          <w:lang w:val="fr-FR"/>
        </w:rPr>
      </w:pPr>
      <w:r w:rsidRPr="00DF0296">
        <w:rPr>
          <w:lang w:val="fr-FR"/>
        </w:rPr>
        <w:t>4.  Dans la nuit du 15 au 16 juillet 2016, un groupe de personnes appartenant aux forces armées turques, accusé d</w:t>
      </w:r>
      <w:r w:rsidR="00DF0296" w:rsidRPr="00DF0296">
        <w:rPr>
          <w:lang w:val="fr-FR"/>
        </w:rPr>
        <w:t>’</w:t>
      </w:r>
      <w:r w:rsidRPr="00DF0296">
        <w:rPr>
          <w:lang w:val="fr-FR"/>
        </w:rPr>
        <w:t>être lié au FETÖ/PDY (</w:t>
      </w:r>
      <w:proofErr w:type="spellStart"/>
      <w:r w:rsidRPr="00DF0296">
        <w:rPr>
          <w:lang w:val="fr-FR"/>
        </w:rPr>
        <w:t>Fetullahçı</w:t>
      </w:r>
      <w:proofErr w:type="spellEnd"/>
      <w:r w:rsidRPr="00DF0296">
        <w:rPr>
          <w:lang w:val="fr-FR"/>
        </w:rPr>
        <w:t xml:space="preserve"> </w:t>
      </w:r>
      <w:proofErr w:type="spellStart"/>
      <w:r w:rsidRPr="00DF0296">
        <w:rPr>
          <w:lang w:val="fr-FR"/>
        </w:rPr>
        <w:t>Terör</w:t>
      </w:r>
      <w:proofErr w:type="spellEnd"/>
      <w:r w:rsidRPr="00DF0296">
        <w:rPr>
          <w:lang w:val="fr-FR"/>
        </w:rPr>
        <w:t xml:space="preserve"> </w:t>
      </w:r>
      <w:proofErr w:type="spellStart"/>
      <w:r w:rsidRPr="00DF0296">
        <w:rPr>
          <w:lang w:val="fr-FR"/>
        </w:rPr>
        <w:t>Örgütü</w:t>
      </w:r>
      <w:proofErr w:type="spellEnd"/>
      <w:r w:rsidRPr="00DF0296">
        <w:rPr>
          <w:lang w:val="fr-FR"/>
        </w:rPr>
        <w:t> / </w:t>
      </w:r>
      <w:proofErr w:type="spellStart"/>
      <w:r w:rsidRPr="00DF0296">
        <w:rPr>
          <w:lang w:val="fr-FR"/>
        </w:rPr>
        <w:t>Paralel</w:t>
      </w:r>
      <w:proofErr w:type="spellEnd"/>
      <w:r w:rsidRPr="00DF0296">
        <w:rPr>
          <w:lang w:val="fr-FR"/>
        </w:rPr>
        <w:t xml:space="preserve"> </w:t>
      </w:r>
      <w:proofErr w:type="spellStart"/>
      <w:r w:rsidRPr="00DF0296">
        <w:rPr>
          <w:lang w:val="fr-FR"/>
        </w:rPr>
        <w:t>Devlet</w:t>
      </w:r>
      <w:proofErr w:type="spellEnd"/>
      <w:r w:rsidRPr="00DF0296">
        <w:rPr>
          <w:lang w:val="fr-FR"/>
        </w:rPr>
        <w:t xml:space="preserve"> </w:t>
      </w:r>
      <w:proofErr w:type="spellStart"/>
      <w:r w:rsidRPr="00DF0296">
        <w:rPr>
          <w:lang w:val="fr-FR"/>
        </w:rPr>
        <w:t>Yapılanması</w:t>
      </w:r>
      <w:proofErr w:type="spellEnd"/>
      <w:r w:rsidRPr="00DF0296">
        <w:rPr>
          <w:lang w:val="fr-FR"/>
        </w:rPr>
        <w:t xml:space="preserve"> – « Organisation terroriste </w:t>
      </w:r>
      <w:proofErr w:type="spellStart"/>
      <w:r w:rsidRPr="00DF0296">
        <w:rPr>
          <w:lang w:val="fr-FR"/>
        </w:rPr>
        <w:t>guleniste</w:t>
      </w:r>
      <w:proofErr w:type="spellEnd"/>
      <w:r w:rsidRPr="00DF0296">
        <w:rPr>
          <w:lang w:val="fr-FR"/>
        </w:rPr>
        <w:t> / structure d</w:t>
      </w:r>
      <w:r w:rsidR="00DF0296" w:rsidRPr="00DF0296">
        <w:rPr>
          <w:lang w:val="fr-FR"/>
        </w:rPr>
        <w:t>’</w:t>
      </w:r>
      <w:r w:rsidRPr="00DF0296">
        <w:rPr>
          <w:lang w:val="fr-FR"/>
        </w:rPr>
        <w:t>État parallèle »), fit une tentative de coup d</w:t>
      </w:r>
      <w:r w:rsidR="00DF0296" w:rsidRPr="00DF0296">
        <w:rPr>
          <w:lang w:val="fr-FR"/>
        </w:rPr>
        <w:t>’</w:t>
      </w:r>
      <w:r w:rsidRPr="00DF0296">
        <w:rPr>
          <w:lang w:val="fr-FR"/>
        </w:rPr>
        <w:t>État, qui échoua. Au cours de la nuit, plus de 200 personnes, majoritairement des civils, perdirent la vie en s</w:t>
      </w:r>
      <w:r w:rsidR="00DF0296" w:rsidRPr="00DF0296">
        <w:rPr>
          <w:lang w:val="fr-FR"/>
        </w:rPr>
        <w:t>’</w:t>
      </w:r>
      <w:r w:rsidRPr="00DF0296">
        <w:rPr>
          <w:lang w:val="fr-FR"/>
        </w:rPr>
        <w:t>opposant aux putschistes. Les jours suivants, les autorités procédèrent à de nombreux arrestations et limogeages au sein de l</w:t>
      </w:r>
      <w:r w:rsidR="00DF0296" w:rsidRPr="00DF0296">
        <w:rPr>
          <w:lang w:val="fr-FR"/>
        </w:rPr>
        <w:t>’</w:t>
      </w:r>
      <w:r w:rsidRPr="00DF0296">
        <w:rPr>
          <w:lang w:val="fr-FR"/>
        </w:rPr>
        <w:t>armée et de la justice.</w:t>
      </w:r>
    </w:p>
    <w:p w:rsidR="008A3A64" w:rsidRPr="00DF0296" w:rsidRDefault="006C279B" w:rsidP="00DF0296">
      <w:pPr>
        <w:pStyle w:val="ECHRPara"/>
        <w:rPr>
          <w:szCs w:val="24"/>
          <w:lang w:val="fr-FR"/>
        </w:rPr>
      </w:pPr>
      <w:r w:rsidRPr="00DF0296">
        <w:rPr>
          <w:szCs w:val="24"/>
          <w:lang w:val="fr-FR"/>
        </w:rPr>
        <w:t>5.  Le 21 juillet 2016, l</w:t>
      </w:r>
      <w:r w:rsidR="00DF0296" w:rsidRPr="00DF0296">
        <w:rPr>
          <w:szCs w:val="24"/>
          <w:lang w:val="fr-FR"/>
        </w:rPr>
        <w:t>’</w:t>
      </w:r>
      <w:r w:rsidRPr="00DF0296">
        <w:rPr>
          <w:szCs w:val="24"/>
          <w:lang w:val="fr-FR"/>
        </w:rPr>
        <w:t>état d</w:t>
      </w:r>
      <w:r w:rsidR="00DF0296" w:rsidRPr="00DF0296">
        <w:rPr>
          <w:szCs w:val="24"/>
          <w:lang w:val="fr-FR"/>
        </w:rPr>
        <w:t>’</w:t>
      </w:r>
      <w:r w:rsidRPr="00DF0296">
        <w:rPr>
          <w:szCs w:val="24"/>
          <w:lang w:val="fr-FR"/>
        </w:rPr>
        <w:t>urgence fut décrété. Pendant l</w:t>
      </w:r>
      <w:r w:rsidR="00DF0296" w:rsidRPr="00DF0296">
        <w:rPr>
          <w:szCs w:val="24"/>
          <w:lang w:val="fr-FR"/>
        </w:rPr>
        <w:t>’</w:t>
      </w:r>
      <w:r w:rsidRPr="00DF0296">
        <w:rPr>
          <w:szCs w:val="24"/>
          <w:lang w:val="fr-FR"/>
        </w:rPr>
        <w:t>état d</w:t>
      </w:r>
      <w:r w:rsidR="00DF0296" w:rsidRPr="00DF0296">
        <w:rPr>
          <w:szCs w:val="24"/>
          <w:lang w:val="fr-FR"/>
        </w:rPr>
        <w:t>’</w:t>
      </w:r>
      <w:r w:rsidRPr="00DF0296">
        <w:rPr>
          <w:szCs w:val="24"/>
          <w:lang w:val="fr-FR"/>
        </w:rPr>
        <w:t>urgence, le Conseil des ministres, réuni sous la présidence du président de la République, adopta vingt-</w:t>
      </w:r>
      <w:r w:rsidR="00667C68" w:rsidRPr="00DF0296">
        <w:rPr>
          <w:szCs w:val="24"/>
          <w:lang w:val="fr-FR"/>
        </w:rPr>
        <w:t>quatre</w:t>
      </w:r>
      <w:r w:rsidRPr="00DF0296">
        <w:rPr>
          <w:szCs w:val="24"/>
          <w:lang w:val="fr-FR"/>
        </w:rPr>
        <w:t xml:space="preserve"> </w:t>
      </w:r>
      <w:proofErr w:type="spellStart"/>
      <w:r w:rsidRPr="00DF0296">
        <w:rPr>
          <w:szCs w:val="24"/>
          <w:lang w:val="fr-FR"/>
        </w:rPr>
        <w:t>décrets-lois</w:t>
      </w:r>
      <w:proofErr w:type="spellEnd"/>
      <w:r w:rsidRPr="00DF0296">
        <w:rPr>
          <w:szCs w:val="24"/>
          <w:lang w:val="fr-FR"/>
        </w:rPr>
        <w:t xml:space="preserve"> (n</w:t>
      </w:r>
      <w:r w:rsidRPr="00DF0296">
        <w:rPr>
          <w:szCs w:val="24"/>
          <w:vertAlign w:val="superscript"/>
          <w:lang w:val="fr-FR"/>
        </w:rPr>
        <w:t>os</w:t>
      </w:r>
      <w:r w:rsidRPr="00DF0296">
        <w:rPr>
          <w:szCs w:val="24"/>
          <w:lang w:val="fr-FR"/>
        </w:rPr>
        <w:t xml:space="preserve"> 667 à 6</w:t>
      </w:r>
      <w:r w:rsidR="00667C68" w:rsidRPr="00DF0296">
        <w:rPr>
          <w:szCs w:val="24"/>
          <w:lang w:val="fr-FR"/>
        </w:rPr>
        <w:t>90</w:t>
      </w:r>
      <w:r w:rsidRPr="00DF0296">
        <w:rPr>
          <w:szCs w:val="24"/>
          <w:lang w:val="fr-FR"/>
        </w:rPr>
        <w:t>) en application de l</w:t>
      </w:r>
      <w:r w:rsidR="00DF0296" w:rsidRPr="00DF0296">
        <w:rPr>
          <w:szCs w:val="24"/>
          <w:lang w:val="fr-FR"/>
        </w:rPr>
        <w:t>’</w:t>
      </w:r>
      <w:r w:rsidRPr="00DF0296">
        <w:rPr>
          <w:szCs w:val="24"/>
          <w:lang w:val="fr-FR"/>
        </w:rPr>
        <w:t>article 121 de la Constitution.</w:t>
      </w:r>
    </w:p>
    <w:p w:rsidR="008A3A64" w:rsidRPr="00DF0296" w:rsidRDefault="006C279B" w:rsidP="00DF0296">
      <w:pPr>
        <w:pStyle w:val="ECHRPara"/>
        <w:rPr>
          <w:lang w:val="fr-FR"/>
        </w:rPr>
      </w:pPr>
      <w:r w:rsidRPr="00DF0296">
        <w:rPr>
          <w:lang w:val="fr-FR"/>
        </w:rPr>
        <w:t>6.  Le 25 juillet 2016, le requérant fut suspendu de ses fonctions.</w:t>
      </w:r>
    </w:p>
    <w:p w:rsidR="008A3A64" w:rsidRPr="00DF0296" w:rsidRDefault="006C279B" w:rsidP="00DF0296">
      <w:pPr>
        <w:pStyle w:val="ECHRPara"/>
        <w:rPr>
          <w:lang w:val="fr-FR"/>
        </w:rPr>
      </w:pPr>
      <w:r w:rsidRPr="00DF0296">
        <w:rPr>
          <w:lang w:val="fr-FR"/>
        </w:rPr>
        <w:t>7.  Par le décret-loi n</w:t>
      </w:r>
      <w:r w:rsidR="008A3A64" w:rsidRPr="00DF0296">
        <w:rPr>
          <w:vertAlign w:val="superscript"/>
          <w:lang w:val="fr-FR"/>
        </w:rPr>
        <w:t>o</w:t>
      </w:r>
      <w:r w:rsidRPr="00DF0296">
        <w:rPr>
          <w:lang w:val="fr-FR"/>
        </w:rPr>
        <w:t> 672, promulgué le 1</w:t>
      </w:r>
      <w:r w:rsidRPr="00DF0296">
        <w:rPr>
          <w:vertAlign w:val="superscript"/>
          <w:lang w:val="fr-FR"/>
        </w:rPr>
        <w:t>er</w:t>
      </w:r>
      <w:r w:rsidRPr="00DF0296">
        <w:rPr>
          <w:lang w:val="fr-FR"/>
        </w:rPr>
        <w:t> septembre 2016, 50 875 fonctionnaires furent révoqués, tous ayant été considérés comme appartenant, affiliés ou liés à des organisations terroristes ou à des organisations, structures ou groupes pour lesquels le Conseil national de sécurité avait établi qu</w:t>
      </w:r>
      <w:r w:rsidR="00DF0296" w:rsidRPr="00DF0296">
        <w:rPr>
          <w:lang w:val="fr-FR"/>
        </w:rPr>
        <w:t>’</w:t>
      </w:r>
      <w:r w:rsidRPr="00DF0296">
        <w:rPr>
          <w:lang w:val="fr-FR"/>
        </w:rPr>
        <w:t>ils se livraient à des activités préjudiciables à la sécurité nationale de l</w:t>
      </w:r>
      <w:r w:rsidR="00DF0296" w:rsidRPr="00DF0296">
        <w:rPr>
          <w:lang w:val="fr-FR"/>
        </w:rPr>
        <w:t>’</w:t>
      </w:r>
      <w:r w:rsidRPr="00DF0296">
        <w:rPr>
          <w:lang w:val="fr-FR"/>
        </w:rPr>
        <w:t>État (article 2 du décret-loi). Parmi les fonctionnaires révoqués figuraient entre autres 28 163 fonctionnaires du ministère de l</w:t>
      </w:r>
      <w:r w:rsidR="00DF0296" w:rsidRPr="00DF0296">
        <w:rPr>
          <w:lang w:val="fr-FR"/>
        </w:rPr>
        <w:t>’</w:t>
      </w:r>
      <w:r w:rsidRPr="00DF0296">
        <w:rPr>
          <w:rFonts w:cstheme="minorHAnsi"/>
          <w:lang w:val="fr-FR"/>
        </w:rPr>
        <w:t>É</w:t>
      </w:r>
      <w:r w:rsidRPr="00DF0296">
        <w:rPr>
          <w:lang w:val="fr-FR"/>
        </w:rPr>
        <w:t>ducation nationale (majoritairement des enseignants), dont le requérant, qui apparaissait au 9 228</w:t>
      </w:r>
      <w:r w:rsidRPr="00DF0296">
        <w:rPr>
          <w:vertAlign w:val="superscript"/>
          <w:lang w:val="fr-FR"/>
        </w:rPr>
        <w:t>e</w:t>
      </w:r>
      <w:r w:rsidRPr="00DF0296">
        <w:rPr>
          <w:lang w:val="fr-FR"/>
        </w:rPr>
        <w:t xml:space="preserve"> rang de la liste annexée à ce texte.</w:t>
      </w:r>
    </w:p>
    <w:p w:rsidR="006C279B" w:rsidRPr="00DF0296" w:rsidRDefault="006C279B" w:rsidP="00DF0296">
      <w:pPr>
        <w:pStyle w:val="ECHRPara"/>
        <w:rPr>
          <w:lang w:val="fr-FR"/>
        </w:rPr>
      </w:pPr>
      <w:r w:rsidRPr="00DF0296">
        <w:rPr>
          <w:lang w:val="fr-FR"/>
        </w:rPr>
        <w:t>En application de l</w:t>
      </w:r>
      <w:r w:rsidR="00DF0296" w:rsidRPr="00DF0296">
        <w:rPr>
          <w:lang w:val="fr-FR"/>
        </w:rPr>
        <w:t>’</w:t>
      </w:r>
      <w:r w:rsidRPr="00DF0296">
        <w:rPr>
          <w:lang w:val="fr-FR"/>
        </w:rPr>
        <w:t>article 2 2) et 3) du même décret-loi, les fonctionnaires révoqués ne pouvaient plus réintégrer la fonction publique. En outre, leurs passeports étaient annulés.</w:t>
      </w:r>
    </w:p>
    <w:p w:rsidR="008A3A64" w:rsidRPr="00DF0296" w:rsidRDefault="006C279B" w:rsidP="00DF0296">
      <w:pPr>
        <w:pStyle w:val="ECHRPara"/>
        <w:rPr>
          <w:lang w:val="fr-FR"/>
        </w:rPr>
      </w:pPr>
      <w:r w:rsidRPr="00DF0296">
        <w:rPr>
          <w:lang w:val="fr-FR"/>
        </w:rPr>
        <w:t>8.  Le 28 septembre 2016, le requérant introduisit un recours individuel devant la Cour constitutionnelle pour contester la mesure de révocation prise à son encontre. Ce recours est à ce jour pendant devant la haute juridiction.</w:t>
      </w:r>
    </w:p>
    <w:p w:rsidR="006C279B" w:rsidRPr="00DF0296" w:rsidRDefault="006C279B" w:rsidP="00DF0296">
      <w:pPr>
        <w:pStyle w:val="ECHRHeading2"/>
        <w:rPr>
          <w:lang w:val="fr-FR"/>
        </w:rPr>
      </w:pPr>
      <w:r w:rsidRPr="00DF0296">
        <w:rPr>
          <w:lang w:val="fr-FR"/>
        </w:rPr>
        <w:t>B.  Le droit et la pratique internes pertinents</w:t>
      </w:r>
    </w:p>
    <w:p w:rsidR="008A3A64" w:rsidRPr="00DF0296" w:rsidRDefault="006C279B" w:rsidP="00DF0296">
      <w:pPr>
        <w:pStyle w:val="ECHRPara"/>
        <w:rPr>
          <w:lang w:val="fr-FR"/>
        </w:rPr>
      </w:pPr>
      <w:r w:rsidRPr="00DF0296">
        <w:rPr>
          <w:lang w:val="fr-FR"/>
        </w:rPr>
        <w:t>9.  Les dispositions pertinentes en l</w:t>
      </w:r>
      <w:r w:rsidR="00DF0296" w:rsidRPr="00DF0296">
        <w:rPr>
          <w:lang w:val="fr-FR"/>
        </w:rPr>
        <w:t>’</w:t>
      </w:r>
      <w:r w:rsidRPr="00DF0296">
        <w:rPr>
          <w:lang w:val="fr-FR"/>
        </w:rPr>
        <w:t>espèce de la Constitution sur l</w:t>
      </w:r>
      <w:r w:rsidR="00DF0296" w:rsidRPr="00DF0296">
        <w:rPr>
          <w:lang w:val="fr-FR"/>
        </w:rPr>
        <w:t>’</w:t>
      </w:r>
      <w:r w:rsidRPr="00DF0296">
        <w:rPr>
          <w:lang w:val="fr-FR"/>
        </w:rPr>
        <w:t>état d</w:t>
      </w:r>
      <w:r w:rsidR="00DF0296" w:rsidRPr="00DF0296">
        <w:rPr>
          <w:lang w:val="fr-FR"/>
        </w:rPr>
        <w:t>’</w:t>
      </w:r>
      <w:r w:rsidRPr="00DF0296">
        <w:rPr>
          <w:lang w:val="fr-FR"/>
        </w:rPr>
        <w:t xml:space="preserve">urgence figurent dans la décision </w:t>
      </w:r>
      <w:proofErr w:type="spellStart"/>
      <w:r w:rsidRPr="00DF0296">
        <w:rPr>
          <w:i/>
          <w:lang w:val="fr-FR"/>
        </w:rPr>
        <w:t>Zihni</w:t>
      </w:r>
      <w:proofErr w:type="spellEnd"/>
      <w:r w:rsidRPr="00DF0296">
        <w:rPr>
          <w:i/>
          <w:lang w:val="fr-FR"/>
        </w:rPr>
        <w:t xml:space="preserve"> c. Turquie</w:t>
      </w:r>
      <w:r w:rsidRPr="00DF0296">
        <w:rPr>
          <w:lang w:val="fr-FR"/>
        </w:rPr>
        <w:t xml:space="preserve"> ((déc.) n</w:t>
      </w:r>
      <w:r w:rsidR="008A3A64" w:rsidRPr="00DF0296">
        <w:rPr>
          <w:vertAlign w:val="superscript"/>
          <w:lang w:val="fr-FR"/>
        </w:rPr>
        <w:t>o</w:t>
      </w:r>
      <w:r w:rsidRPr="00DF0296">
        <w:rPr>
          <w:lang w:val="fr-FR"/>
        </w:rPr>
        <w:t> 59061/16, §§ 8-11, 29 novembre 2016).</w:t>
      </w:r>
    </w:p>
    <w:p w:rsidR="006C279B" w:rsidRPr="00DF0296" w:rsidRDefault="006C279B" w:rsidP="00DF0296">
      <w:pPr>
        <w:pStyle w:val="ECHRHeading3"/>
        <w:rPr>
          <w:lang w:val="fr-FR"/>
        </w:rPr>
      </w:pPr>
      <w:r w:rsidRPr="00DF0296">
        <w:rPr>
          <w:lang w:val="fr-FR"/>
        </w:rPr>
        <w:t>1.  La décision du 9 août 2016 adoptée par la Cour constitutionnelle</w:t>
      </w:r>
    </w:p>
    <w:p w:rsidR="008A3A64" w:rsidRPr="00DF0296" w:rsidRDefault="006C279B" w:rsidP="00DF0296">
      <w:pPr>
        <w:pStyle w:val="ECHRPara"/>
        <w:rPr>
          <w:lang w:val="fr-FR"/>
        </w:rPr>
      </w:pPr>
      <w:r w:rsidRPr="00DF0296">
        <w:rPr>
          <w:lang w:val="fr-FR"/>
        </w:rPr>
        <w:t>10.  Par une décision du 9 août 2016, la Cour constitutionnelle, réunie en assemblée plénière, a décidé de révoquer deux de ses membres, en application de l</w:t>
      </w:r>
      <w:r w:rsidR="00DF0296" w:rsidRPr="00DF0296">
        <w:rPr>
          <w:lang w:val="fr-FR"/>
        </w:rPr>
        <w:t>’</w:t>
      </w:r>
      <w:r w:rsidRPr="00DF0296">
        <w:rPr>
          <w:lang w:val="fr-FR"/>
        </w:rPr>
        <w:t>article 3 § 1 du décret-loi n</w:t>
      </w:r>
      <w:r w:rsidR="008A3A64" w:rsidRPr="00DF0296">
        <w:rPr>
          <w:vertAlign w:val="superscript"/>
          <w:lang w:val="fr-FR"/>
        </w:rPr>
        <w:t>o</w:t>
      </w:r>
      <w:r w:rsidRPr="00DF0296">
        <w:rPr>
          <w:lang w:val="fr-FR"/>
        </w:rPr>
        <w:t> 667, publié au Journal officiel le 23 juillet 2016, ceux-ci ayant été considérés comme appartenant, affiliés ou liés à des organisations terroristes ou à des organisations, structures ou groupes pour lesquels le Conseil national de sécurité avait établi qu</w:t>
      </w:r>
      <w:r w:rsidR="00DF0296" w:rsidRPr="00DF0296">
        <w:rPr>
          <w:lang w:val="fr-FR"/>
        </w:rPr>
        <w:t>’</w:t>
      </w:r>
      <w:r w:rsidRPr="00DF0296">
        <w:rPr>
          <w:lang w:val="fr-FR"/>
        </w:rPr>
        <w:t>ils se livraient à des activités préjudiciables à la sécurité nationale de l</w:t>
      </w:r>
      <w:r w:rsidR="00DF0296" w:rsidRPr="00DF0296">
        <w:rPr>
          <w:lang w:val="fr-FR"/>
        </w:rPr>
        <w:t>’</w:t>
      </w:r>
      <w:r w:rsidRPr="00DF0296">
        <w:rPr>
          <w:lang w:val="fr-FR"/>
        </w:rPr>
        <w:t>État.</w:t>
      </w:r>
    </w:p>
    <w:p w:rsidR="006C279B" w:rsidRPr="00DF0296" w:rsidRDefault="006C279B" w:rsidP="00DF0296">
      <w:pPr>
        <w:pStyle w:val="ECHRHeading3"/>
        <w:rPr>
          <w:lang w:val="fr-FR"/>
        </w:rPr>
      </w:pPr>
      <w:r w:rsidRPr="00DF0296">
        <w:rPr>
          <w:lang w:val="fr-FR"/>
        </w:rPr>
        <w:t xml:space="preserve">2.  Le contrôle juridictionnel des </w:t>
      </w:r>
      <w:proofErr w:type="spellStart"/>
      <w:r w:rsidRPr="00DF0296">
        <w:rPr>
          <w:lang w:val="fr-FR"/>
        </w:rPr>
        <w:t>décrets-lois</w:t>
      </w:r>
      <w:proofErr w:type="spellEnd"/>
      <w:r w:rsidRPr="00DF0296">
        <w:rPr>
          <w:lang w:val="fr-FR"/>
        </w:rPr>
        <w:t xml:space="preserve"> édictés en période d</w:t>
      </w:r>
      <w:r w:rsidR="00DF0296" w:rsidRPr="00DF0296">
        <w:rPr>
          <w:lang w:val="fr-FR"/>
        </w:rPr>
        <w:t>’</w:t>
      </w:r>
      <w:r w:rsidRPr="00DF0296">
        <w:rPr>
          <w:lang w:val="fr-FR"/>
        </w:rPr>
        <w:t>état d</w:t>
      </w:r>
      <w:r w:rsidR="00DF0296" w:rsidRPr="00DF0296">
        <w:rPr>
          <w:lang w:val="fr-FR"/>
        </w:rPr>
        <w:t>’</w:t>
      </w:r>
      <w:r w:rsidRPr="00DF0296">
        <w:rPr>
          <w:lang w:val="fr-FR"/>
        </w:rPr>
        <w:t>urgence</w:t>
      </w:r>
    </w:p>
    <w:p w:rsidR="006C279B" w:rsidRPr="00DF0296" w:rsidRDefault="006C279B" w:rsidP="00DF0296">
      <w:pPr>
        <w:pStyle w:val="ECHRPara"/>
        <w:rPr>
          <w:lang w:val="fr-FR"/>
        </w:rPr>
      </w:pPr>
      <w:r w:rsidRPr="00DF0296">
        <w:rPr>
          <w:lang w:val="fr-FR"/>
        </w:rPr>
        <w:t xml:space="preserve">11.  Le contrôle juridictionnel des </w:t>
      </w:r>
      <w:proofErr w:type="spellStart"/>
      <w:r w:rsidRPr="00DF0296">
        <w:rPr>
          <w:lang w:val="fr-FR"/>
        </w:rPr>
        <w:t>décrets-lois</w:t>
      </w:r>
      <w:proofErr w:type="spellEnd"/>
      <w:r w:rsidRPr="00DF0296">
        <w:rPr>
          <w:lang w:val="fr-FR"/>
        </w:rPr>
        <w:t xml:space="preserve"> édictés en période d</w:t>
      </w:r>
      <w:r w:rsidR="00DF0296" w:rsidRPr="00DF0296">
        <w:rPr>
          <w:lang w:val="fr-FR"/>
        </w:rPr>
        <w:t>’</w:t>
      </w:r>
      <w:r w:rsidRPr="00DF0296">
        <w:rPr>
          <w:lang w:val="fr-FR"/>
        </w:rPr>
        <w:t>état d</w:t>
      </w:r>
      <w:r w:rsidR="00DF0296" w:rsidRPr="00DF0296">
        <w:rPr>
          <w:lang w:val="fr-FR"/>
        </w:rPr>
        <w:t>’</w:t>
      </w:r>
      <w:r w:rsidRPr="00DF0296">
        <w:rPr>
          <w:lang w:val="fr-FR"/>
        </w:rPr>
        <w:t xml:space="preserve">urgence et des mesures prises en application de ceux-ci a toujours été controversé dans la doctrine et dans la jurisprudence des juridictions turques. Par le passé, la Cour constitutionnelle avait décidé de contrôler la constitutionnalité de ces </w:t>
      </w:r>
      <w:proofErr w:type="spellStart"/>
      <w:r w:rsidRPr="00DF0296">
        <w:rPr>
          <w:lang w:val="fr-FR"/>
        </w:rPr>
        <w:t>décrets-lois</w:t>
      </w:r>
      <w:proofErr w:type="spellEnd"/>
      <w:r w:rsidRPr="00DF0296">
        <w:rPr>
          <w:lang w:val="fr-FR"/>
        </w:rPr>
        <w:t>, estimant que, maîtresse de la qualification juridique des actes soumis à son examen, il lui appartenait de dire si un décret adopté selon la procédure instaurée par l</w:t>
      </w:r>
      <w:r w:rsidR="00DF0296" w:rsidRPr="00DF0296">
        <w:rPr>
          <w:lang w:val="fr-FR"/>
        </w:rPr>
        <w:t>’</w:t>
      </w:r>
      <w:r w:rsidRPr="00DF0296">
        <w:rPr>
          <w:lang w:val="fr-FR"/>
        </w:rPr>
        <w:t>article 121 de la Constitution pouvait réellement être considéré comme un décret-loi édicté en période d</w:t>
      </w:r>
      <w:r w:rsidR="00DF0296" w:rsidRPr="00DF0296">
        <w:rPr>
          <w:lang w:val="fr-FR"/>
        </w:rPr>
        <w:t>’</w:t>
      </w:r>
      <w:r w:rsidRPr="00DF0296">
        <w:rPr>
          <w:lang w:val="fr-FR"/>
        </w:rPr>
        <w:t>état d</w:t>
      </w:r>
      <w:r w:rsidR="00DF0296" w:rsidRPr="00DF0296">
        <w:rPr>
          <w:lang w:val="fr-FR"/>
        </w:rPr>
        <w:t>’</w:t>
      </w:r>
      <w:r w:rsidRPr="00DF0296">
        <w:rPr>
          <w:lang w:val="fr-FR"/>
        </w:rPr>
        <w:t>urgence au sens de la disposition précitée. À cet égard, elle avait notamment annulé certaines dispositions de ces décrets qui autorisaient les autorités à prendre des mesures concernant une région non soumise à l</w:t>
      </w:r>
      <w:r w:rsidR="00DF0296" w:rsidRPr="00DF0296">
        <w:rPr>
          <w:lang w:val="fr-FR"/>
        </w:rPr>
        <w:t>’</w:t>
      </w:r>
      <w:r w:rsidRPr="00DF0296">
        <w:rPr>
          <w:lang w:val="fr-FR"/>
        </w:rPr>
        <w:t>état d</w:t>
      </w:r>
      <w:r w:rsidR="00DF0296" w:rsidRPr="00DF0296">
        <w:rPr>
          <w:lang w:val="fr-FR"/>
        </w:rPr>
        <w:t>’</w:t>
      </w:r>
      <w:r w:rsidRPr="00DF0296">
        <w:rPr>
          <w:lang w:val="fr-FR"/>
        </w:rPr>
        <w:t>urgence. En outre, elle avait précisé que de tels décrets ne pouvaient amender une loi, en raison du caractère provisoire des actes adoptés pendant l</w:t>
      </w:r>
      <w:r w:rsidR="00DF0296" w:rsidRPr="00DF0296">
        <w:rPr>
          <w:lang w:val="fr-FR"/>
        </w:rPr>
        <w:t>’</w:t>
      </w:r>
      <w:r w:rsidRPr="00DF0296">
        <w:rPr>
          <w:lang w:val="fr-FR"/>
        </w:rPr>
        <w:t>état d</w:t>
      </w:r>
      <w:r w:rsidR="00DF0296" w:rsidRPr="00DF0296">
        <w:rPr>
          <w:lang w:val="fr-FR"/>
        </w:rPr>
        <w:t>’</w:t>
      </w:r>
      <w:r w:rsidRPr="00DF0296">
        <w:rPr>
          <w:lang w:val="fr-FR"/>
        </w:rPr>
        <w:t>urgence (décisions n</w:t>
      </w:r>
      <w:r w:rsidRPr="00DF0296">
        <w:rPr>
          <w:vertAlign w:val="superscript"/>
          <w:lang w:val="fr-FR"/>
        </w:rPr>
        <w:t>os</w:t>
      </w:r>
      <w:r w:rsidRPr="00DF0296">
        <w:rPr>
          <w:lang w:val="fr-FR"/>
        </w:rPr>
        <w:t>  E.1990/25, K.1991/1, E.1991/6, K.1991/20, E.1992/30, K.1992/36 et E.2003/28, K.2003/42).</w:t>
      </w:r>
    </w:p>
    <w:p w:rsidR="008A3A64" w:rsidRPr="00DF0296" w:rsidRDefault="006C279B" w:rsidP="00DF0296">
      <w:pPr>
        <w:pStyle w:val="ECHRPara"/>
        <w:rPr>
          <w:lang w:val="fr-FR"/>
        </w:rPr>
      </w:pPr>
      <w:r w:rsidRPr="00DF0296">
        <w:rPr>
          <w:lang w:val="fr-FR"/>
        </w:rPr>
        <w:t xml:space="preserve">12.  Par la suite, par quatre arrêts de principe rendus le 12 octobre 2016 (relativement aux </w:t>
      </w:r>
      <w:proofErr w:type="spellStart"/>
      <w:r w:rsidRPr="00DF0296">
        <w:rPr>
          <w:lang w:val="fr-FR"/>
        </w:rPr>
        <w:t>décrets-lois</w:t>
      </w:r>
      <w:proofErr w:type="spellEnd"/>
      <w:r w:rsidRPr="00DF0296">
        <w:rPr>
          <w:lang w:val="fr-FR"/>
        </w:rPr>
        <w:t xml:space="preserve"> n</w:t>
      </w:r>
      <w:r w:rsidRPr="00DF0296">
        <w:rPr>
          <w:vertAlign w:val="superscript"/>
          <w:lang w:val="fr-FR"/>
        </w:rPr>
        <w:t>os</w:t>
      </w:r>
      <w:r w:rsidRPr="00DF0296">
        <w:rPr>
          <w:lang w:val="fr-FR"/>
        </w:rPr>
        <w:t xml:space="preserve"> 668 et 669) et le 2 novembre 2016 (relativement aux </w:t>
      </w:r>
      <w:proofErr w:type="spellStart"/>
      <w:r w:rsidRPr="00DF0296">
        <w:rPr>
          <w:lang w:val="fr-FR"/>
        </w:rPr>
        <w:t>décrets-lois</w:t>
      </w:r>
      <w:proofErr w:type="spellEnd"/>
      <w:r w:rsidRPr="00DF0296">
        <w:rPr>
          <w:lang w:val="fr-FR"/>
        </w:rPr>
        <w:t xml:space="preserve"> n</w:t>
      </w:r>
      <w:r w:rsidRPr="00DF0296">
        <w:rPr>
          <w:vertAlign w:val="superscript"/>
          <w:lang w:val="fr-FR"/>
        </w:rPr>
        <w:t>os</w:t>
      </w:r>
      <w:r w:rsidRPr="00DF0296">
        <w:rPr>
          <w:lang w:val="fr-FR"/>
        </w:rPr>
        <w:t> 670 et 671) à l</w:t>
      </w:r>
      <w:r w:rsidR="00DF0296" w:rsidRPr="00DF0296">
        <w:rPr>
          <w:lang w:val="fr-FR"/>
        </w:rPr>
        <w:t>’</w:t>
      </w:r>
      <w:r w:rsidRPr="00DF0296">
        <w:rPr>
          <w:lang w:val="fr-FR"/>
        </w:rPr>
        <w:t>occasion de l</w:t>
      </w:r>
      <w:r w:rsidR="00DF0296" w:rsidRPr="00DF0296">
        <w:rPr>
          <w:lang w:val="fr-FR"/>
        </w:rPr>
        <w:t>’</w:t>
      </w:r>
      <w:r w:rsidRPr="00DF0296">
        <w:rPr>
          <w:lang w:val="fr-FR"/>
        </w:rPr>
        <w:t>introduction de recours en inconstitutionnalité par des députés turcs, la Cour constitutionnelle a procédé à un revirement jurisprudentiel et a décidé qu</w:t>
      </w:r>
      <w:r w:rsidR="00DF0296" w:rsidRPr="00DF0296">
        <w:rPr>
          <w:lang w:val="fr-FR"/>
        </w:rPr>
        <w:t>’</w:t>
      </w:r>
      <w:r w:rsidRPr="00DF0296">
        <w:rPr>
          <w:lang w:val="fr-FR"/>
        </w:rPr>
        <w:t>elle n</w:t>
      </w:r>
      <w:r w:rsidR="00DF0296" w:rsidRPr="00DF0296">
        <w:rPr>
          <w:lang w:val="fr-FR"/>
        </w:rPr>
        <w:t>’</w:t>
      </w:r>
      <w:r w:rsidRPr="00DF0296">
        <w:rPr>
          <w:lang w:val="fr-FR"/>
        </w:rPr>
        <w:t xml:space="preserve">était pas compétente pour examiner la constitutionnalité des </w:t>
      </w:r>
      <w:proofErr w:type="spellStart"/>
      <w:r w:rsidRPr="00DF0296">
        <w:rPr>
          <w:lang w:val="fr-FR"/>
        </w:rPr>
        <w:t>décrets-lois</w:t>
      </w:r>
      <w:proofErr w:type="spellEnd"/>
      <w:r w:rsidRPr="00DF0296">
        <w:rPr>
          <w:lang w:val="fr-FR"/>
        </w:rPr>
        <w:t xml:space="preserve"> édictés en période d</w:t>
      </w:r>
      <w:r w:rsidR="00DF0296" w:rsidRPr="00DF0296">
        <w:rPr>
          <w:lang w:val="fr-FR"/>
        </w:rPr>
        <w:t>’</w:t>
      </w:r>
      <w:r w:rsidRPr="00DF0296">
        <w:rPr>
          <w:lang w:val="fr-FR"/>
        </w:rPr>
        <w:t>état d</w:t>
      </w:r>
      <w:r w:rsidR="00DF0296" w:rsidRPr="00DF0296">
        <w:rPr>
          <w:lang w:val="fr-FR"/>
        </w:rPr>
        <w:t>’</w:t>
      </w:r>
      <w:r w:rsidRPr="00DF0296">
        <w:rPr>
          <w:lang w:val="fr-FR"/>
        </w:rPr>
        <w:t xml:space="preserve">urgence. Dans son arrêt de principe du 12 octobre 2016 relatif </w:t>
      </w:r>
      <w:proofErr w:type="gramStart"/>
      <w:r w:rsidRPr="00DF0296">
        <w:rPr>
          <w:lang w:val="fr-FR"/>
        </w:rPr>
        <w:t>au</w:t>
      </w:r>
      <w:proofErr w:type="gramEnd"/>
      <w:r w:rsidRPr="00DF0296">
        <w:rPr>
          <w:lang w:val="fr-FR"/>
        </w:rPr>
        <w:t xml:space="preserve"> décret-loi n</w:t>
      </w:r>
      <w:r w:rsidR="008A3A64" w:rsidRPr="00DF0296">
        <w:rPr>
          <w:vertAlign w:val="superscript"/>
          <w:lang w:val="fr-FR"/>
        </w:rPr>
        <w:t>o</w:t>
      </w:r>
      <w:r w:rsidRPr="00DF0296">
        <w:rPr>
          <w:lang w:val="fr-FR"/>
        </w:rPr>
        <w:t xml:space="preserve"> 668, elle a notamment considéré qu</w:t>
      </w:r>
      <w:r w:rsidR="00DF0296" w:rsidRPr="00DF0296">
        <w:rPr>
          <w:lang w:val="fr-FR"/>
        </w:rPr>
        <w:t>’</w:t>
      </w:r>
      <w:r w:rsidRPr="00DF0296">
        <w:rPr>
          <w:lang w:val="fr-FR"/>
        </w:rPr>
        <w:t>il ressortait de l</w:t>
      </w:r>
      <w:r w:rsidR="00DF0296" w:rsidRPr="00DF0296">
        <w:rPr>
          <w:lang w:val="fr-FR"/>
        </w:rPr>
        <w:t>’</w:t>
      </w:r>
      <w:r w:rsidRPr="00DF0296">
        <w:rPr>
          <w:lang w:val="fr-FR"/>
        </w:rPr>
        <w:t xml:space="preserve">article 148 de la Constitution que les </w:t>
      </w:r>
      <w:proofErr w:type="spellStart"/>
      <w:r w:rsidRPr="00DF0296">
        <w:rPr>
          <w:lang w:val="fr-FR"/>
        </w:rPr>
        <w:t>décrets-lois</w:t>
      </w:r>
      <w:proofErr w:type="spellEnd"/>
      <w:r w:rsidRPr="00DF0296">
        <w:rPr>
          <w:lang w:val="fr-FR"/>
        </w:rPr>
        <w:t xml:space="preserve"> édictés en période d</w:t>
      </w:r>
      <w:r w:rsidR="00DF0296" w:rsidRPr="00DF0296">
        <w:rPr>
          <w:lang w:val="fr-FR"/>
        </w:rPr>
        <w:t>’</w:t>
      </w:r>
      <w:r w:rsidRPr="00DF0296">
        <w:rPr>
          <w:lang w:val="fr-FR"/>
        </w:rPr>
        <w:t>état d</w:t>
      </w:r>
      <w:r w:rsidR="00DF0296" w:rsidRPr="00DF0296">
        <w:rPr>
          <w:lang w:val="fr-FR"/>
        </w:rPr>
        <w:t>’</w:t>
      </w:r>
      <w:r w:rsidRPr="00DF0296">
        <w:rPr>
          <w:lang w:val="fr-FR"/>
        </w:rPr>
        <w:t>urgence ne pouvaient faire l</w:t>
      </w:r>
      <w:r w:rsidR="00DF0296" w:rsidRPr="00DF0296">
        <w:rPr>
          <w:lang w:val="fr-FR"/>
        </w:rPr>
        <w:t>’</w:t>
      </w:r>
      <w:r w:rsidRPr="00DF0296">
        <w:rPr>
          <w:lang w:val="fr-FR"/>
        </w:rPr>
        <w:t>objet d</w:t>
      </w:r>
      <w:r w:rsidR="00DF0296" w:rsidRPr="00DF0296">
        <w:rPr>
          <w:lang w:val="fr-FR"/>
        </w:rPr>
        <w:t>’</w:t>
      </w:r>
      <w:r w:rsidRPr="00DF0296">
        <w:rPr>
          <w:lang w:val="fr-FR"/>
        </w:rPr>
        <w:t>un recours en inconstitutionnalité devant elle, ni quant à la forme ni quant au fond. En outre, elle a souligné que, d</w:t>
      </w:r>
      <w:r w:rsidR="00DF0296" w:rsidRPr="00DF0296">
        <w:rPr>
          <w:lang w:val="fr-FR"/>
        </w:rPr>
        <w:t>’</w:t>
      </w:r>
      <w:r w:rsidRPr="00DF0296">
        <w:rPr>
          <w:lang w:val="fr-FR"/>
        </w:rPr>
        <w:t>après l</w:t>
      </w:r>
      <w:r w:rsidR="00DF0296" w:rsidRPr="00DF0296">
        <w:rPr>
          <w:lang w:val="fr-FR"/>
        </w:rPr>
        <w:t>’</w:t>
      </w:r>
      <w:r w:rsidRPr="00DF0296">
        <w:rPr>
          <w:lang w:val="fr-FR"/>
        </w:rPr>
        <w:t xml:space="preserve">article 121 de la Constitution, il incombait au pouvoir législatif de contrôler lesdits </w:t>
      </w:r>
      <w:proofErr w:type="spellStart"/>
      <w:r w:rsidRPr="00DF0296">
        <w:rPr>
          <w:lang w:val="fr-FR"/>
        </w:rPr>
        <w:t>décrets-lois</w:t>
      </w:r>
      <w:proofErr w:type="spellEnd"/>
      <w:r w:rsidRPr="00DF0296">
        <w:rPr>
          <w:lang w:val="fr-FR"/>
        </w:rPr>
        <w:t>.</w:t>
      </w:r>
    </w:p>
    <w:p w:rsidR="008A3A64" w:rsidRPr="00DF0296" w:rsidRDefault="006C279B" w:rsidP="00DF0296">
      <w:pPr>
        <w:pStyle w:val="ECHRPara"/>
        <w:rPr>
          <w:lang w:val="fr-FR"/>
        </w:rPr>
      </w:pPr>
      <w:r w:rsidRPr="00DF0296">
        <w:rPr>
          <w:lang w:val="fr-FR"/>
        </w:rPr>
        <w:t>13.  À la suite des événements du 15 juillet 2016, plus de 60 000 requêtes individuelles ont été introduites devant la Cour constitutionnelle. À ce jour, cette dernière ne s</w:t>
      </w:r>
      <w:r w:rsidR="00DF0296" w:rsidRPr="00DF0296">
        <w:rPr>
          <w:lang w:val="fr-FR"/>
        </w:rPr>
        <w:t>’</w:t>
      </w:r>
      <w:r w:rsidRPr="00DF0296">
        <w:rPr>
          <w:lang w:val="fr-FR"/>
        </w:rPr>
        <w:t xml:space="preserve">est pas encore prononcée sur la question de savoir si elle est compétente pour examiner les mesures prises par les </w:t>
      </w:r>
      <w:proofErr w:type="spellStart"/>
      <w:r w:rsidRPr="00DF0296">
        <w:rPr>
          <w:lang w:val="fr-FR"/>
        </w:rPr>
        <w:t>décrets-lois</w:t>
      </w:r>
      <w:proofErr w:type="spellEnd"/>
      <w:r w:rsidRPr="00DF0296">
        <w:rPr>
          <w:lang w:val="fr-FR"/>
        </w:rPr>
        <w:t xml:space="preserve"> affectant des justiciables.</w:t>
      </w:r>
    </w:p>
    <w:p w:rsidR="006C279B" w:rsidRPr="00DF0296" w:rsidRDefault="006C279B" w:rsidP="00DF0296">
      <w:pPr>
        <w:pStyle w:val="ECHRPara"/>
        <w:rPr>
          <w:lang w:val="fr-FR"/>
        </w:rPr>
      </w:pPr>
      <w:r w:rsidRPr="00DF0296">
        <w:rPr>
          <w:lang w:val="fr-FR"/>
        </w:rPr>
        <w:t>14.  De son côté, par un arrêt du 4 novembre 2016, le Conseil d</w:t>
      </w:r>
      <w:r w:rsidR="00DF0296" w:rsidRPr="00DF0296">
        <w:rPr>
          <w:lang w:val="fr-FR"/>
        </w:rPr>
        <w:t>’</w:t>
      </w:r>
      <w:r w:rsidRPr="00DF0296">
        <w:rPr>
          <w:lang w:val="fr-FR"/>
        </w:rPr>
        <w:t>État s</w:t>
      </w:r>
      <w:r w:rsidR="00DF0296" w:rsidRPr="00DF0296">
        <w:rPr>
          <w:lang w:val="fr-FR"/>
        </w:rPr>
        <w:t>’</w:t>
      </w:r>
      <w:r w:rsidRPr="00DF0296">
        <w:rPr>
          <w:lang w:val="fr-FR"/>
        </w:rPr>
        <w:t>est déclaré incompétent pour connaître du fond d</w:t>
      </w:r>
      <w:r w:rsidR="00DF0296" w:rsidRPr="00DF0296">
        <w:rPr>
          <w:lang w:val="fr-FR"/>
        </w:rPr>
        <w:t>’</w:t>
      </w:r>
      <w:r w:rsidRPr="00DF0296">
        <w:rPr>
          <w:lang w:val="fr-FR"/>
        </w:rPr>
        <w:t>un recours en annulation introduit par un magistrat qui avait été révoqué par une décision du Conseil supérieur de la magistrature prise en application du décret-loi n</w:t>
      </w:r>
      <w:r w:rsidR="008A3A64" w:rsidRPr="00DF0296">
        <w:rPr>
          <w:vertAlign w:val="superscript"/>
          <w:lang w:val="fr-FR"/>
        </w:rPr>
        <w:t>o</w:t>
      </w:r>
      <w:r w:rsidRPr="00DF0296">
        <w:rPr>
          <w:lang w:val="fr-FR"/>
        </w:rPr>
        <w:t> 667. Dans les attendus de son arrêt, le Conseil d</w:t>
      </w:r>
      <w:r w:rsidR="00DF0296" w:rsidRPr="00DF0296">
        <w:rPr>
          <w:lang w:val="fr-FR"/>
        </w:rPr>
        <w:t>’</w:t>
      </w:r>
      <w:r w:rsidRPr="00DF0296">
        <w:rPr>
          <w:lang w:val="fr-FR"/>
        </w:rPr>
        <w:t>État a notamment jugé que l</w:t>
      </w:r>
      <w:r w:rsidR="00DF0296" w:rsidRPr="00DF0296">
        <w:rPr>
          <w:lang w:val="fr-FR"/>
        </w:rPr>
        <w:t>’</w:t>
      </w:r>
      <w:r w:rsidRPr="00DF0296">
        <w:rPr>
          <w:lang w:val="fr-FR"/>
        </w:rPr>
        <w:t>acte dénoncé, qui constituait une « mesure exceptionnelle » et permanente, ne pouvait être considéré comme une sanction disciplinaire soumise au contrôle juridictionnel. Estimant qu</w:t>
      </w:r>
      <w:r w:rsidR="00DF0296" w:rsidRPr="00DF0296">
        <w:rPr>
          <w:lang w:val="fr-FR"/>
        </w:rPr>
        <w:t>’</w:t>
      </w:r>
      <w:r w:rsidRPr="00DF0296">
        <w:rPr>
          <w:lang w:val="fr-FR"/>
        </w:rPr>
        <w:t>il incombait au premier chef aux tribunaux administratifs d</w:t>
      </w:r>
      <w:r w:rsidR="00DF0296" w:rsidRPr="00DF0296">
        <w:rPr>
          <w:lang w:val="fr-FR"/>
        </w:rPr>
        <w:t>’</w:t>
      </w:r>
      <w:r w:rsidRPr="00DF0296">
        <w:rPr>
          <w:lang w:val="fr-FR"/>
        </w:rPr>
        <w:t>examiner pareil recours, le Conseil d</w:t>
      </w:r>
      <w:r w:rsidR="00DF0296" w:rsidRPr="00DF0296">
        <w:rPr>
          <w:lang w:val="fr-FR"/>
        </w:rPr>
        <w:t>’</w:t>
      </w:r>
      <w:r w:rsidRPr="00DF0296">
        <w:rPr>
          <w:lang w:val="fr-FR"/>
        </w:rPr>
        <w:t>État a renvoyé l</w:t>
      </w:r>
      <w:r w:rsidR="00DF0296" w:rsidRPr="00DF0296">
        <w:rPr>
          <w:lang w:val="fr-FR"/>
        </w:rPr>
        <w:t>’</w:t>
      </w:r>
      <w:r w:rsidRPr="00DF0296">
        <w:rPr>
          <w:lang w:val="fr-FR"/>
        </w:rPr>
        <w:t>affaire devant le tribunal de première instance. Le recours en question est à ce jour pendant devant les instances nationales.</w:t>
      </w:r>
    </w:p>
    <w:p w:rsidR="006C279B" w:rsidRPr="00DF0296" w:rsidRDefault="006C279B" w:rsidP="00DF0296">
      <w:pPr>
        <w:pStyle w:val="ECHRPara"/>
        <w:rPr>
          <w:lang w:val="fr-FR"/>
        </w:rPr>
      </w:pPr>
      <w:r w:rsidRPr="00DF0296">
        <w:rPr>
          <w:lang w:val="fr-FR"/>
        </w:rPr>
        <w:t xml:space="preserve">15.  Par ailleurs, dans de nombreux jugements, les tribunaux administratifs se sont déclarés incompétents pour connaître du fond des recours en annulation introduits par des fonctionnaires révoqués directement par des </w:t>
      </w:r>
      <w:proofErr w:type="spellStart"/>
      <w:proofErr w:type="gramStart"/>
      <w:r w:rsidRPr="00DF0296">
        <w:rPr>
          <w:lang w:val="fr-FR"/>
        </w:rPr>
        <w:t>décret-lois</w:t>
      </w:r>
      <w:proofErr w:type="spellEnd"/>
      <w:proofErr w:type="gramEnd"/>
      <w:r w:rsidRPr="00DF0296">
        <w:rPr>
          <w:lang w:val="fr-FR"/>
        </w:rPr>
        <w:t xml:space="preserve"> édictés en période d</w:t>
      </w:r>
      <w:r w:rsidR="00DF0296" w:rsidRPr="00DF0296">
        <w:rPr>
          <w:lang w:val="fr-FR"/>
        </w:rPr>
        <w:t>’</w:t>
      </w:r>
      <w:r w:rsidRPr="00DF0296">
        <w:rPr>
          <w:lang w:val="fr-FR"/>
        </w:rPr>
        <w:t>état d</w:t>
      </w:r>
      <w:r w:rsidR="00DF0296" w:rsidRPr="00DF0296">
        <w:rPr>
          <w:lang w:val="fr-FR"/>
        </w:rPr>
        <w:t>’</w:t>
      </w:r>
      <w:r w:rsidRPr="00DF0296">
        <w:rPr>
          <w:lang w:val="fr-FR"/>
        </w:rPr>
        <w:t xml:space="preserve">urgence. Ces recours sont à </w:t>
      </w:r>
      <w:proofErr w:type="gramStart"/>
      <w:r w:rsidRPr="00DF0296">
        <w:rPr>
          <w:lang w:val="fr-FR"/>
        </w:rPr>
        <w:t>ce jour pendants</w:t>
      </w:r>
      <w:proofErr w:type="gramEnd"/>
      <w:r w:rsidRPr="00DF0296">
        <w:rPr>
          <w:lang w:val="fr-FR"/>
        </w:rPr>
        <w:t xml:space="preserve"> devant les instances nationales.</w:t>
      </w:r>
    </w:p>
    <w:p w:rsidR="006C279B" w:rsidRPr="00DF0296" w:rsidRDefault="006C279B" w:rsidP="00DF0296">
      <w:pPr>
        <w:pStyle w:val="ECHRHeading3"/>
        <w:rPr>
          <w:lang w:val="fr-FR"/>
        </w:rPr>
      </w:pPr>
      <w:r w:rsidRPr="00DF0296">
        <w:rPr>
          <w:lang w:val="fr-FR"/>
        </w:rPr>
        <w:t>3.  Le décret-loi n</w:t>
      </w:r>
      <w:r w:rsidR="008A3A64" w:rsidRPr="00DF0296">
        <w:rPr>
          <w:vertAlign w:val="superscript"/>
          <w:lang w:val="fr-FR"/>
        </w:rPr>
        <w:t>o</w:t>
      </w:r>
      <w:r w:rsidRPr="00DF0296">
        <w:rPr>
          <w:lang w:val="fr-FR"/>
        </w:rPr>
        <w:t xml:space="preserve"> 685 relatif à l</w:t>
      </w:r>
      <w:r w:rsidR="00DF0296" w:rsidRPr="00DF0296">
        <w:rPr>
          <w:lang w:val="fr-FR"/>
        </w:rPr>
        <w:t>’</w:t>
      </w:r>
      <w:r w:rsidRPr="00DF0296">
        <w:rPr>
          <w:lang w:val="fr-FR"/>
        </w:rPr>
        <w:t>établissement de la commission d</w:t>
      </w:r>
      <w:r w:rsidR="00DF0296" w:rsidRPr="00DF0296">
        <w:rPr>
          <w:lang w:val="fr-FR"/>
        </w:rPr>
        <w:t>’</w:t>
      </w:r>
      <w:r w:rsidRPr="00DF0296">
        <w:rPr>
          <w:lang w:val="fr-FR"/>
        </w:rPr>
        <w:t>examen des actes pris dans le cadre de l</w:t>
      </w:r>
      <w:r w:rsidR="00DF0296" w:rsidRPr="00DF0296">
        <w:rPr>
          <w:lang w:val="fr-FR"/>
        </w:rPr>
        <w:t>’</w:t>
      </w:r>
      <w:r w:rsidRPr="00DF0296">
        <w:rPr>
          <w:lang w:val="fr-FR"/>
        </w:rPr>
        <w:t>état d</w:t>
      </w:r>
      <w:r w:rsidR="00DF0296" w:rsidRPr="00DF0296">
        <w:rPr>
          <w:lang w:val="fr-FR"/>
        </w:rPr>
        <w:t>’</w:t>
      </w:r>
      <w:r w:rsidRPr="00DF0296">
        <w:rPr>
          <w:lang w:val="fr-FR"/>
        </w:rPr>
        <w:t>urgence (« le décret-loi n</w:t>
      </w:r>
      <w:r w:rsidR="008A3A64" w:rsidRPr="00DF0296">
        <w:rPr>
          <w:vertAlign w:val="superscript"/>
          <w:lang w:val="fr-FR"/>
        </w:rPr>
        <w:t>o</w:t>
      </w:r>
      <w:r w:rsidRPr="00DF0296">
        <w:rPr>
          <w:lang w:val="fr-FR"/>
        </w:rPr>
        <w:t xml:space="preserve"> 685 »)</w:t>
      </w:r>
    </w:p>
    <w:p w:rsidR="006C279B" w:rsidRPr="00DF0296" w:rsidRDefault="006C279B" w:rsidP="00DF0296">
      <w:pPr>
        <w:pStyle w:val="ECHRPara"/>
        <w:rPr>
          <w:lang w:val="fr-FR"/>
        </w:rPr>
      </w:pPr>
      <w:r w:rsidRPr="00DF0296">
        <w:rPr>
          <w:lang w:val="fr-FR"/>
        </w:rPr>
        <w:t>16.  Le décret-loi n</w:t>
      </w:r>
      <w:r w:rsidR="008A3A64" w:rsidRPr="00DF0296">
        <w:rPr>
          <w:vertAlign w:val="superscript"/>
          <w:lang w:val="fr-FR"/>
        </w:rPr>
        <w:t>o</w:t>
      </w:r>
      <w:r w:rsidRPr="00DF0296">
        <w:rPr>
          <w:lang w:val="fr-FR"/>
        </w:rPr>
        <w:t xml:space="preserve"> 685 a été adopté le 2 janvier 2017 par le Conseil des ministres, réuni sous la présidence du président de la République, en application de l</w:t>
      </w:r>
      <w:r w:rsidR="00DF0296" w:rsidRPr="00DF0296">
        <w:rPr>
          <w:lang w:val="fr-FR"/>
        </w:rPr>
        <w:t>’</w:t>
      </w:r>
      <w:r w:rsidRPr="00DF0296">
        <w:rPr>
          <w:lang w:val="fr-FR"/>
        </w:rPr>
        <w:t>article 121 de la Constitution. Il a été publié au Journal officiel le 23 janvier 2017. Il est ainsi libellé en ses parties pertinentes en l</w:t>
      </w:r>
      <w:r w:rsidR="00DF0296" w:rsidRPr="00DF0296">
        <w:rPr>
          <w:lang w:val="fr-FR"/>
        </w:rPr>
        <w:t>’</w:t>
      </w:r>
      <w:r w:rsidRPr="00DF0296">
        <w:rPr>
          <w:lang w:val="fr-FR"/>
        </w:rPr>
        <w:t>espèce :</w:t>
      </w:r>
    </w:p>
    <w:p w:rsidR="006C279B" w:rsidRPr="00DF0296" w:rsidRDefault="006C279B" w:rsidP="00DF0296">
      <w:pPr>
        <w:pStyle w:val="ECHRTitleCentre3"/>
        <w:rPr>
          <w:lang w:val="fr-FR"/>
        </w:rPr>
      </w:pPr>
      <w:r w:rsidRPr="00DF0296">
        <w:rPr>
          <w:lang w:val="fr-FR"/>
        </w:rPr>
        <w:t>« Formation de la commission</w:t>
      </w:r>
    </w:p>
    <w:p w:rsidR="006C279B" w:rsidRPr="00DF0296" w:rsidRDefault="006C279B" w:rsidP="00DF0296">
      <w:pPr>
        <w:pStyle w:val="ECHRTitleCentre3"/>
        <w:rPr>
          <w:lang w:val="fr-FR"/>
        </w:rPr>
      </w:pPr>
      <w:r w:rsidRPr="00DF0296">
        <w:rPr>
          <w:lang w:val="fr-FR"/>
        </w:rPr>
        <w:t>Article 1</w:t>
      </w:r>
    </w:p>
    <w:p w:rsidR="006C279B" w:rsidRPr="00DF0296" w:rsidRDefault="006C279B" w:rsidP="00DF0296">
      <w:pPr>
        <w:pStyle w:val="ECHRParaQuote"/>
        <w:rPr>
          <w:lang w:val="fr-FR"/>
        </w:rPr>
      </w:pPr>
      <w:r w:rsidRPr="00DF0296">
        <w:rPr>
          <w:lang w:val="fr-FR"/>
        </w:rPr>
        <w:t>1) Il est créé une commission d</w:t>
      </w:r>
      <w:r w:rsidR="00DF0296" w:rsidRPr="00DF0296">
        <w:rPr>
          <w:lang w:val="fr-FR"/>
        </w:rPr>
        <w:t>’</w:t>
      </w:r>
      <w:r w:rsidRPr="00DF0296">
        <w:rPr>
          <w:lang w:val="fr-FR"/>
        </w:rPr>
        <w:t>examen des actes pris dans le cadre de l</w:t>
      </w:r>
      <w:r w:rsidR="00DF0296" w:rsidRPr="00DF0296">
        <w:rPr>
          <w:lang w:val="fr-FR"/>
        </w:rPr>
        <w:t>’</w:t>
      </w:r>
      <w:r w:rsidRPr="00DF0296">
        <w:rPr>
          <w:lang w:val="fr-FR"/>
        </w:rPr>
        <w:t>état d</w:t>
      </w:r>
      <w:r w:rsidR="00DF0296" w:rsidRPr="00DF0296">
        <w:rPr>
          <w:lang w:val="fr-FR"/>
        </w:rPr>
        <w:t>’</w:t>
      </w:r>
      <w:r w:rsidRPr="00DF0296">
        <w:rPr>
          <w:lang w:val="fr-FR"/>
        </w:rPr>
        <w:t>urgence, chargée de se prononcer, après examen, sur les recours relatifs à des mesures visant les personnes qui sont membres des organisations terroristes ou des groupes ou formations considérés comme agissant contre la sécurité nationale de l</w:t>
      </w:r>
      <w:r w:rsidR="00DF0296" w:rsidRPr="00DF0296">
        <w:rPr>
          <w:lang w:val="fr-FR"/>
        </w:rPr>
        <w:t>’</w:t>
      </w:r>
      <w:r w:rsidRPr="00DF0296">
        <w:rPr>
          <w:lang w:val="fr-FR"/>
        </w:rPr>
        <w:t>État, ou qui sont affiliées, appartiennent, adhèrent ou sont liées à ceux-ci, et prises directement, sans qu</w:t>
      </w:r>
      <w:r w:rsidR="00DF0296" w:rsidRPr="00DF0296">
        <w:rPr>
          <w:lang w:val="fr-FR"/>
        </w:rPr>
        <w:t>’</w:t>
      </w:r>
      <w:r w:rsidRPr="00DF0296">
        <w:rPr>
          <w:lang w:val="fr-FR"/>
        </w:rPr>
        <w:t xml:space="preserve">aucun acte administratif soit nécessaire, par les </w:t>
      </w:r>
      <w:proofErr w:type="spellStart"/>
      <w:r w:rsidRPr="00DF0296">
        <w:rPr>
          <w:lang w:val="fr-FR"/>
        </w:rPr>
        <w:t>décrets</w:t>
      </w:r>
      <w:r w:rsidRPr="00DF0296">
        <w:rPr>
          <w:lang w:val="fr-FR"/>
        </w:rPr>
        <w:noBreakHyphen/>
        <w:t>lois</w:t>
      </w:r>
      <w:proofErr w:type="spellEnd"/>
      <w:r w:rsidRPr="00DF0296">
        <w:rPr>
          <w:lang w:val="fr-FR"/>
        </w:rPr>
        <w:t xml:space="preserve"> adoptés dans le cadre de l</w:t>
      </w:r>
      <w:r w:rsidR="00DF0296" w:rsidRPr="00DF0296">
        <w:rPr>
          <w:lang w:val="fr-FR"/>
        </w:rPr>
        <w:t>’</w:t>
      </w:r>
      <w:r w:rsidRPr="00DF0296">
        <w:rPr>
          <w:lang w:val="fr-FR"/>
        </w:rPr>
        <w:t>état d</w:t>
      </w:r>
      <w:r w:rsidR="00DF0296" w:rsidRPr="00DF0296">
        <w:rPr>
          <w:lang w:val="fr-FR"/>
        </w:rPr>
        <w:t>’</w:t>
      </w:r>
      <w:r w:rsidRPr="00DF0296">
        <w:rPr>
          <w:lang w:val="fr-FR"/>
        </w:rPr>
        <w:t>urgence décrété conformément à l</w:t>
      </w:r>
      <w:r w:rsidR="00DF0296" w:rsidRPr="00DF0296">
        <w:rPr>
          <w:lang w:val="fr-FR"/>
        </w:rPr>
        <w:t>’</w:t>
      </w:r>
      <w:r w:rsidRPr="00DF0296">
        <w:rPr>
          <w:lang w:val="fr-FR"/>
        </w:rPr>
        <w:t>article 120 de la Constitution et approuvé par la décision n</w:t>
      </w:r>
      <w:r w:rsidR="008A3A64" w:rsidRPr="00DF0296">
        <w:rPr>
          <w:vertAlign w:val="superscript"/>
          <w:lang w:val="fr-FR"/>
        </w:rPr>
        <w:t>o</w:t>
      </w:r>
      <w:r w:rsidRPr="00DF0296">
        <w:rPr>
          <w:lang w:val="fr-FR"/>
        </w:rPr>
        <w:t xml:space="preserve"> 1116 de la Grande Assemblée nationale de Turquie.</w:t>
      </w:r>
    </w:p>
    <w:p w:rsidR="006C279B" w:rsidRPr="00DF0296" w:rsidRDefault="006C279B" w:rsidP="00DF0296">
      <w:pPr>
        <w:pStyle w:val="ECHRParaQuote"/>
        <w:rPr>
          <w:lang w:val="fr-FR"/>
        </w:rPr>
      </w:pPr>
      <w:r w:rsidRPr="00DF0296">
        <w:rPr>
          <w:lang w:val="fr-FR"/>
        </w:rPr>
        <w:t>2) La commission est composée de sept membres. Trois membres sont désignés par le Premier ministre parmi les agents publics, un membre par le ministre de la Justice parmi les juges et procureurs en fonction au sein du ministère de la Justice, un membre par le ministre de l</w:t>
      </w:r>
      <w:r w:rsidR="00DF0296" w:rsidRPr="00DF0296">
        <w:rPr>
          <w:lang w:val="fr-FR"/>
        </w:rPr>
        <w:t>’</w:t>
      </w:r>
      <w:r w:rsidRPr="00DF0296">
        <w:rPr>
          <w:lang w:val="fr-FR"/>
        </w:rPr>
        <w:t>Intérieur parmi les directeurs de l</w:t>
      </w:r>
      <w:r w:rsidR="00DF0296" w:rsidRPr="00DF0296">
        <w:rPr>
          <w:lang w:val="fr-FR"/>
        </w:rPr>
        <w:t>’</w:t>
      </w:r>
      <w:r w:rsidRPr="00DF0296">
        <w:rPr>
          <w:lang w:val="fr-FR"/>
        </w:rPr>
        <w:t>administration publique, et deux membres par le Conseil supérieur de la magistrature, l</w:t>
      </w:r>
      <w:r w:rsidR="00DF0296" w:rsidRPr="00DF0296">
        <w:rPr>
          <w:lang w:val="fr-FR"/>
        </w:rPr>
        <w:t>’</w:t>
      </w:r>
      <w:r w:rsidRPr="00DF0296">
        <w:rPr>
          <w:lang w:val="fr-FR"/>
        </w:rPr>
        <w:t>un parmi les juges rapporteurs de la Cour de cassation et l</w:t>
      </w:r>
      <w:r w:rsidR="00DF0296" w:rsidRPr="00DF0296">
        <w:rPr>
          <w:lang w:val="fr-FR"/>
        </w:rPr>
        <w:t>’</w:t>
      </w:r>
      <w:r w:rsidRPr="00DF0296">
        <w:rPr>
          <w:lang w:val="fr-FR"/>
        </w:rPr>
        <w:t>autre parmi ceux du Conseil d</w:t>
      </w:r>
      <w:r w:rsidR="00DF0296" w:rsidRPr="00DF0296">
        <w:rPr>
          <w:lang w:val="fr-FR"/>
        </w:rPr>
        <w:t>’</w:t>
      </w:r>
      <w:r w:rsidRPr="00DF0296">
        <w:rPr>
          <w:lang w:val="fr-FR"/>
        </w:rPr>
        <w:t>État. La commission désigne son président et un vice-président.</w:t>
      </w:r>
    </w:p>
    <w:p w:rsidR="006C279B" w:rsidRPr="00DF0296" w:rsidRDefault="006C279B" w:rsidP="00DF0296">
      <w:pPr>
        <w:pStyle w:val="ECHRParaQuote"/>
        <w:rPr>
          <w:lang w:val="fr-FR"/>
        </w:rPr>
      </w:pPr>
      <w:r w:rsidRPr="00DF0296">
        <w:rPr>
          <w:lang w:val="fr-FR"/>
        </w:rPr>
        <w:t>3) Le quorum requis pour la tenue des réunions et la prise des décisions de la commission est de quatre. Les membres de la commission ne peuvent s</w:t>
      </w:r>
      <w:r w:rsidR="00DF0296" w:rsidRPr="00DF0296">
        <w:rPr>
          <w:lang w:val="fr-FR"/>
        </w:rPr>
        <w:t>’</w:t>
      </w:r>
      <w:r w:rsidRPr="00DF0296">
        <w:rPr>
          <w:lang w:val="fr-FR"/>
        </w:rPr>
        <w:t>exprimer par un vote d</w:t>
      </w:r>
      <w:r w:rsidR="00DF0296" w:rsidRPr="00DF0296">
        <w:rPr>
          <w:lang w:val="fr-FR"/>
        </w:rPr>
        <w:t>’</w:t>
      </w:r>
      <w:r w:rsidRPr="00DF0296">
        <w:rPr>
          <w:lang w:val="fr-FR"/>
        </w:rPr>
        <w:t>abstention.</w:t>
      </w:r>
    </w:p>
    <w:p w:rsidR="006C279B" w:rsidRPr="00DF0296" w:rsidRDefault="006C279B" w:rsidP="00DF0296">
      <w:pPr>
        <w:pStyle w:val="ECHRTitleCentre3"/>
        <w:rPr>
          <w:lang w:val="fr-FR"/>
        </w:rPr>
      </w:pPr>
      <w:r w:rsidRPr="00DF0296">
        <w:rPr>
          <w:lang w:val="fr-FR"/>
        </w:rPr>
        <w:t>Attributions de la commission</w:t>
      </w:r>
    </w:p>
    <w:p w:rsidR="006C279B" w:rsidRPr="00DF0296" w:rsidRDefault="006C279B" w:rsidP="00DF0296">
      <w:pPr>
        <w:pStyle w:val="ECHRTitleCentre3"/>
        <w:rPr>
          <w:lang w:val="fr-FR"/>
        </w:rPr>
      </w:pPr>
      <w:r w:rsidRPr="00DF0296">
        <w:rPr>
          <w:lang w:val="fr-FR"/>
        </w:rPr>
        <w:t>Article 2</w:t>
      </w:r>
    </w:p>
    <w:p w:rsidR="006C279B" w:rsidRPr="00DF0296" w:rsidRDefault="006C279B" w:rsidP="00DF0296">
      <w:pPr>
        <w:pStyle w:val="ECHRParaQuote"/>
        <w:rPr>
          <w:lang w:val="fr-FR"/>
        </w:rPr>
      </w:pPr>
      <w:r w:rsidRPr="00DF0296">
        <w:rPr>
          <w:lang w:val="fr-FR"/>
        </w:rPr>
        <w:t xml:space="preserve">1) La commission se prononce, après examen, sur les recours relatifs aux mesures suivantes prises directement par les </w:t>
      </w:r>
      <w:proofErr w:type="spellStart"/>
      <w:r w:rsidRPr="00DF0296">
        <w:rPr>
          <w:lang w:val="fr-FR"/>
        </w:rPr>
        <w:t>décrets-lois</w:t>
      </w:r>
      <w:proofErr w:type="spellEnd"/>
      <w:r w:rsidRPr="00DF0296">
        <w:rPr>
          <w:lang w:val="fr-FR"/>
        </w:rPr>
        <w:t xml:space="preserve"> adoptés dans le cadre de l</w:t>
      </w:r>
      <w:r w:rsidR="00DF0296" w:rsidRPr="00DF0296">
        <w:rPr>
          <w:lang w:val="fr-FR"/>
        </w:rPr>
        <w:t>’</w:t>
      </w:r>
      <w:r w:rsidRPr="00DF0296">
        <w:rPr>
          <w:lang w:val="fr-FR"/>
        </w:rPr>
        <w:t>état d</w:t>
      </w:r>
      <w:r w:rsidR="00DF0296" w:rsidRPr="00DF0296">
        <w:rPr>
          <w:lang w:val="fr-FR"/>
        </w:rPr>
        <w:t>’</w:t>
      </w:r>
      <w:r w:rsidRPr="00DF0296">
        <w:rPr>
          <w:lang w:val="fr-FR"/>
        </w:rPr>
        <w:t>urgence :</w:t>
      </w:r>
    </w:p>
    <w:p w:rsidR="006C279B" w:rsidRPr="00DF0296" w:rsidRDefault="006C279B" w:rsidP="00DF0296">
      <w:pPr>
        <w:pStyle w:val="ECHRParaQuote"/>
        <w:rPr>
          <w:lang w:val="fr-FR"/>
        </w:rPr>
      </w:pPr>
      <w:r w:rsidRPr="00DF0296">
        <w:rPr>
          <w:lang w:val="fr-FR"/>
        </w:rPr>
        <w:t>a) révocation/renvoi ou exclusion de la fonction publique, d</w:t>
      </w:r>
      <w:r w:rsidR="00DF0296" w:rsidRPr="00DF0296">
        <w:rPr>
          <w:lang w:val="fr-FR"/>
        </w:rPr>
        <w:t>’</w:t>
      </w:r>
      <w:r w:rsidRPr="00DF0296">
        <w:rPr>
          <w:lang w:val="fr-FR"/>
        </w:rPr>
        <w:t>une profession ou d</w:t>
      </w:r>
      <w:r w:rsidR="00DF0296" w:rsidRPr="00DF0296">
        <w:rPr>
          <w:lang w:val="fr-FR"/>
        </w:rPr>
        <w:t>’</w:t>
      </w:r>
      <w:r w:rsidRPr="00DF0296">
        <w:rPr>
          <w:lang w:val="fr-FR"/>
        </w:rPr>
        <w:t>un [organisme] ;</w:t>
      </w:r>
    </w:p>
    <w:p w:rsidR="008A3A64" w:rsidRPr="00DF0296" w:rsidRDefault="006C279B" w:rsidP="00DF0296">
      <w:pPr>
        <w:pStyle w:val="ECHRParaQuote"/>
        <w:rPr>
          <w:lang w:val="fr-FR"/>
        </w:rPr>
      </w:pPr>
      <w:r w:rsidRPr="00DF0296">
        <w:rPr>
          <w:lang w:val="fr-FR"/>
        </w:rPr>
        <w:t>b) privation du statut d</w:t>
      </w:r>
      <w:r w:rsidR="00DF0296" w:rsidRPr="00DF0296">
        <w:rPr>
          <w:lang w:val="fr-FR"/>
        </w:rPr>
        <w:t>’</w:t>
      </w:r>
      <w:r w:rsidRPr="00DF0296">
        <w:rPr>
          <w:lang w:val="fr-FR"/>
        </w:rPr>
        <w:t>étudiant ;</w:t>
      </w:r>
    </w:p>
    <w:p w:rsidR="008A3A64" w:rsidRPr="00DF0296" w:rsidRDefault="006C279B" w:rsidP="00DF0296">
      <w:pPr>
        <w:pStyle w:val="ECHRParaQuote"/>
        <w:rPr>
          <w:lang w:val="fr-FR"/>
        </w:rPr>
      </w:pPr>
      <w:r w:rsidRPr="00DF0296">
        <w:rPr>
          <w:lang w:val="fr-FR"/>
        </w:rPr>
        <w:t>c) interdiction ou dissolution/fermeture des associations, fondations, syndicats, fédérations et confédérations, établissements de santé privés, établissements scolaires privés, établissements d</w:t>
      </w:r>
      <w:r w:rsidR="00DF0296" w:rsidRPr="00DF0296">
        <w:rPr>
          <w:lang w:val="fr-FR"/>
        </w:rPr>
        <w:t>’</w:t>
      </w:r>
      <w:r w:rsidRPr="00DF0296">
        <w:rPr>
          <w:lang w:val="fr-FR"/>
        </w:rPr>
        <w:t>enseignement supérieur appartenant à des fondations, établissements de radiodiffusion et de télévision privés, journaux et périodiques, agences de presse, maisons d</w:t>
      </w:r>
      <w:r w:rsidR="00DF0296" w:rsidRPr="00DF0296">
        <w:rPr>
          <w:lang w:val="fr-FR"/>
        </w:rPr>
        <w:t>’</w:t>
      </w:r>
      <w:r w:rsidRPr="00DF0296">
        <w:rPr>
          <w:lang w:val="fr-FR"/>
        </w:rPr>
        <w:t>édition et réseaux de distribution ;</w:t>
      </w:r>
    </w:p>
    <w:p w:rsidR="008A3A64" w:rsidRPr="00DF0296" w:rsidRDefault="006C279B" w:rsidP="00DF0296">
      <w:pPr>
        <w:pStyle w:val="ECHRParaQuote"/>
        <w:rPr>
          <w:lang w:val="fr-FR"/>
        </w:rPr>
      </w:pPr>
      <w:r w:rsidRPr="00DF0296">
        <w:rPr>
          <w:lang w:val="fr-FR"/>
        </w:rPr>
        <w:t>d) suppression des grades des personnes retraitées.</w:t>
      </w:r>
    </w:p>
    <w:p w:rsidR="006C279B" w:rsidRPr="00DF0296" w:rsidRDefault="006C279B" w:rsidP="00DF0296">
      <w:pPr>
        <w:pStyle w:val="ECHRParaQuote"/>
        <w:rPr>
          <w:lang w:val="fr-FR"/>
        </w:rPr>
      </w:pPr>
      <w:r w:rsidRPr="00DF0296">
        <w:rPr>
          <w:lang w:val="fr-FR"/>
        </w:rPr>
        <w:t>2) Entrent également dans les attributions de la commission [l</w:t>
      </w:r>
      <w:r w:rsidR="00DF0296" w:rsidRPr="00DF0296">
        <w:rPr>
          <w:lang w:val="fr-FR"/>
        </w:rPr>
        <w:t>’</w:t>
      </w:r>
      <w:r w:rsidRPr="00DF0296">
        <w:rPr>
          <w:lang w:val="fr-FR"/>
        </w:rPr>
        <w:t xml:space="preserve">examen de] toutes les mesures non prévues au paragraphe précédent affectant le statut juridique des personnes physiques et morales et prises directement par les </w:t>
      </w:r>
      <w:proofErr w:type="spellStart"/>
      <w:r w:rsidRPr="00DF0296">
        <w:rPr>
          <w:lang w:val="fr-FR"/>
        </w:rPr>
        <w:t>décrets-lois</w:t>
      </w:r>
      <w:proofErr w:type="spellEnd"/>
      <w:r w:rsidRPr="00DF0296">
        <w:rPr>
          <w:lang w:val="fr-FR"/>
        </w:rPr>
        <w:t xml:space="preserve"> adoptés dans le cadre de l</w:t>
      </w:r>
      <w:r w:rsidR="00DF0296" w:rsidRPr="00DF0296">
        <w:rPr>
          <w:lang w:val="fr-FR"/>
        </w:rPr>
        <w:t>’</w:t>
      </w:r>
      <w:r w:rsidRPr="00DF0296">
        <w:rPr>
          <w:lang w:val="fr-FR"/>
        </w:rPr>
        <w:t>état d</w:t>
      </w:r>
      <w:r w:rsidR="00DF0296" w:rsidRPr="00DF0296">
        <w:rPr>
          <w:lang w:val="fr-FR"/>
        </w:rPr>
        <w:t>’</w:t>
      </w:r>
      <w:r w:rsidRPr="00DF0296">
        <w:rPr>
          <w:lang w:val="fr-FR"/>
        </w:rPr>
        <w:t>urgence.</w:t>
      </w:r>
    </w:p>
    <w:p w:rsidR="006C279B" w:rsidRPr="00DF0296" w:rsidRDefault="006C279B" w:rsidP="00DF0296">
      <w:pPr>
        <w:pStyle w:val="ECHRParaQuote"/>
        <w:rPr>
          <w:lang w:val="fr-FR"/>
        </w:rPr>
      </w:pPr>
      <w:r w:rsidRPr="00DF0296">
        <w:rPr>
          <w:lang w:val="fr-FR"/>
        </w:rPr>
        <w:t>3) La commission ne peut être saisie [ni de l</w:t>
      </w:r>
      <w:r w:rsidR="00DF0296" w:rsidRPr="00DF0296">
        <w:rPr>
          <w:lang w:val="fr-FR"/>
        </w:rPr>
        <w:t>’</w:t>
      </w:r>
      <w:r w:rsidRPr="00DF0296">
        <w:rPr>
          <w:lang w:val="fr-FR"/>
        </w:rPr>
        <w:t xml:space="preserve">examen] des mesures additionnelles prévues par les </w:t>
      </w:r>
      <w:proofErr w:type="spellStart"/>
      <w:r w:rsidRPr="00DF0296">
        <w:rPr>
          <w:lang w:val="fr-FR"/>
        </w:rPr>
        <w:t>décrets-lois</w:t>
      </w:r>
      <w:proofErr w:type="spellEnd"/>
      <w:r w:rsidRPr="00DF0296">
        <w:rPr>
          <w:lang w:val="fr-FR"/>
        </w:rPr>
        <w:t xml:space="preserve"> adoptés dans le cadre de l</w:t>
      </w:r>
      <w:r w:rsidR="00DF0296" w:rsidRPr="00DF0296">
        <w:rPr>
          <w:lang w:val="fr-FR"/>
        </w:rPr>
        <w:t>’</w:t>
      </w:r>
      <w:r w:rsidRPr="00DF0296">
        <w:rPr>
          <w:lang w:val="fr-FR"/>
        </w:rPr>
        <w:t>état d</w:t>
      </w:r>
      <w:r w:rsidR="00DF0296" w:rsidRPr="00DF0296">
        <w:rPr>
          <w:lang w:val="fr-FR"/>
        </w:rPr>
        <w:t>’</w:t>
      </w:r>
      <w:r w:rsidRPr="00DF0296">
        <w:rPr>
          <w:lang w:val="fr-FR"/>
        </w:rPr>
        <w:t>urgence ayant un lien avec les mesures définies dans le présent article, ni [de celui] des mesures susceptibles de recours devant les tribunaux.</w:t>
      </w:r>
    </w:p>
    <w:p w:rsidR="006C279B" w:rsidRPr="00DF0296" w:rsidRDefault="006C279B" w:rsidP="00DF0296">
      <w:pPr>
        <w:pStyle w:val="ECHRTitleCentre3"/>
        <w:rPr>
          <w:lang w:val="fr-FR"/>
        </w:rPr>
      </w:pPr>
      <w:r w:rsidRPr="00DF0296">
        <w:rPr>
          <w:lang w:val="fr-FR"/>
        </w:rPr>
        <w:t>Durée des fonctions de la commission</w:t>
      </w:r>
    </w:p>
    <w:p w:rsidR="006C279B" w:rsidRPr="00DF0296" w:rsidRDefault="006C279B" w:rsidP="00DF0296">
      <w:pPr>
        <w:pStyle w:val="ECHRTitleCentre3"/>
        <w:rPr>
          <w:lang w:val="fr-FR"/>
        </w:rPr>
      </w:pPr>
      <w:r w:rsidRPr="00DF0296">
        <w:rPr>
          <w:lang w:val="fr-FR"/>
        </w:rPr>
        <w:t>Article 3</w:t>
      </w:r>
    </w:p>
    <w:p w:rsidR="006C279B" w:rsidRPr="00DF0296" w:rsidRDefault="006C279B" w:rsidP="00DF0296">
      <w:pPr>
        <w:pStyle w:val="ECHRParaQuote"/>
        <w:rPr>
          <w:lang w:val="fr-FR"/>
        </w:rPr>
      </w:pPr>
      <w:r w:rsidRPr="00DF0296">
        <w:rPr>
          <w:lang w:val="fr-FR"/>
        </w:rPr>
        <w:t>1) La commission exerce ses fonctions pour une durée de deux ans à partir de l</w:t>
      </w:r>
      <w:r w:rsidR="00DF0296" w:rsidRPr="00DF0296">
        <w:rPr>
          <w:lang w:val="fr-FR"/>
        </w:rPr>
        <w:t>’</w:t>
      </w:r>
      <w:r w:rsidRPr="00DF0296">
        <w:rPr>
          <w:lang w:val="fr-FR"/>
        </w:rPr>
        <w:t>entrée en vigueur du présent décret-loi. Le Conseil des ministres peut, s</w:t>
      </w:r>
      <w:r w:rsidR="00DF0296" w:rsidRPr="00DF0296">
        <w:rPr>
          <w:lang w:val="fr-FR"/>
        </w:rPr>
        <w:t>’</w:t>
      </w:r>
      <w:r w:rsidRPr="00DF0296">
        <w:rPr>
          <w:lang w:val="fr-FR"/>
        </w:rPr>
        <w:t>il le juge nécessaire, prolonger la durée de ses fonctions pour des périodes d</w:t>
      </w:r>
      <w:r w:rsidR="00DF0296" w:rsidRPr="00DF0296">
        <w:rPr>
          <w:lang w:val="fr-FR"/>
        </w:rPr>
        <w:t>’</w:t>
      </w:r>
      <w:r w:rsidRPr="00DF0296">
        <w:rPr>
          <w:lang w:val="fr-FR"/>
        </w:rPr>
        <w:t>un an.</w:t>
      </w:r>
    </w:p>
    <w:p w:rsidR="006C279B" w:rsidRPr="00DF0296" w:rsidRDefault="006C279B" w:rsidP="00DF0296">
      <w:pPr>
        <w:pStyle w:val="ECHRParaQuote"/>
        <w:rPr>
          <w:lang w:val="fr-FR"/>
        </w:rPr>
      </w:pPr>
      <w:r w:rsidRPr="00DF0296">
        <w:rPr>
          <w:lang w:val="fr-FR"/>
        </w:rPr>
        <w:t>2) Les membres de la commission désignés initialement restent en fonction jusqu</w:t>
      </w:r>
      <w:r w:rsidR="00DF0296" w:rsidRPr="00DF0296">
        <w:rPr>
          <w:lang w:val="fr-FR"/>
        </w:rPr>
        <w:t>’</w:t>
      </w:r>
      <w:r w:rsidRPr="00DF0296">
        <w:rPr>
          <w:lang w:val="fr-FR"/>
        </w:rPr>
        <w:t>à la fin de la durée de deux ans. En cas de prolongation de cette durée, les nouveaux membres sont désignés conformément à la procédure prévue au deuxième paragraphe de l</w:t>
      </w:r>
      <w:r w:rsidR="00DF0296" w:rsidRPr="00DF0296">
        <w:rPr>
          <w:lang w:val="fr-FR"/>
        </w:rPr>
        <w:t>’</w:t>
      </w:r>
      <w:r w:rsidRPr="00DF0296">
        <w:rPr>
          <w:lang w:val="fr-FR"/>
        </w:rPr>
        <w:t>article 1. Les membres sortants peuvent être désignés de nouveau.</w:t>
      </w:r>
    </w:p>
    <w:p w:rsidR="006C279B" w:rsidRPr="00DF0296" w:rsidRDefault="006C279B" w:rsidP="00DF0296">
      <w:pPr>
        <w:pStyle w:val="ECHRParaQuote"/>
        <w:rPr>
          <w:lang w:val="fr-FR"/>
        </w:rPr>
      </w:pPr>
      <w:r w:rsidRPr="00DF0296">
        <w:rPr>
          <w:lang w:val="fr-FR"/>
        </w:rPr>
        <w:t>(</w:t>
      </w:r>
      <w:r w:rsidR="008A3A64" w:rsidRPr="00DF0296">
        <w:rPr>
          <w:lang w:val="fr-FR"/>
        </w:rPr>
        <w:t>...</w:t>
      </w:r>
      <w:r w:rsidRPr="00DF0296">
        <w:rPr>
          <w:lang w:val="fr-FR"/>
        </w:rPr>
        <w:t>)</w:t>
      </w:r>
    </w:p>
    <w:p w:rsidR="006C279B" w:rsidRPr="00DF0296" w:rsidRDefault="006C279B" w:rsidP="00DF0296">
      <w:pPr>
        <w:pStyle w:val="ECHRTitleCentre3"/>
        <w:rPr>
          <w:lang w:val="fr-FR"/>
        </w:rPr>
      </w:pPr>
      <w:r w:rsidRPr="00DF0296">
        <w:rPr>
          <w:lang w:val="fr-FR"/>
        </w:rPr>
        <w:t>Pouvoir de demander des informations et des documents</w:t>
      </w:r>
    </w:p>
    <w:p w:rsidR="006C279B" w:rsidRPr="00DF0296" w:rsidRDefault="006C279B" w:rsidP="00DF0296">
      <w:pPr>
        <w:pStyle w:val="ECHRTitleCentre3"/>
        <w:rPr>
          <w:lang w:val="fr-FR"/>
        </w:rPr>
      </w:pPr>
      <w:r w:rsidRPr="00DF0296">
        <w:rPr>
          <w:lang w:val="fr-FR"/>
        </w:rPr>
        <w:t>Article 5</w:t>
      </w:r>
    </w:p>
    <w:p w:rsidR="008A3A64" w:rsidRPr="00DF0296" w:rsidRDefault="006C279B" w:rsidP="00DF0296">
      <w:pPr>
        <w:pStyle w:val="ECHRParaQuote"/>
        <w:rPr>
          <w:lang w:val="fr-FR"/>
        </w:rPr>
      </w:pPr>
      <w:r w:rsidRPr="00DF0296">
        <w:rPr>
          <w:lang w:val="fr-FR"/>
        </w:rPr>
        <w:t>1) La commission peut demander aux personnes ou institutions concernées toute information et tout document [utiles à sa mission].</w:t>
      </w:r>
    </w:p>
    <w:p w:rsidR="006C279B" w:rsidRPr="00DF0296" w:rsidRDefault="006C279B" w:rsidP="00DF0296">
      <w:pPr>
        <w:pStyle w:val="ECHRParaQuote"/>
        <w:rPr>
          <w:lang w:val="fr-FR"/>
        </w:rPr>
      </w:pPr>
      <w:r w:rsidRPr="00DF0296">
        <w:rPr>
          <w:lang w:val="fr-FR"/>
        </w:rPr>
        <w:t>2) Sans préjudice de la législation relative au secret de l</w:t>
      </w:r>
      <w:r w:rsidR="00DF0296" w:rsidRPr="00DF0296">
        <w:rPr>
          <w:lang w:val="fr-FR"/>
        </w:rPr>
        <w:t>’</w:t>
      </w:r>
      <w:r w:rsidRPr="00DF0296">
        <w:rPr>
          <w:lang w:val="fr-FR"/>
        </w:rPr>
        <w:t>instruction et au secret d</w:t>
      </w:r>
      <w:r w:rsidR="00DF0296" w:rsidRPr="00DF0296">
        <w:rPr>
          <w:lang w:val="fr-FR"/>
        </w:rPr>
        <w:t>’</w:t>
      </w:r>
      <w:r w:rsidRPr="00DF0296">
        <w:rPr>
          <w:lang w:val="fr-FR"/>
        </w:rPr>
        <w:t>État, les organismes et établissements publics ainsi que les instances juridictionnelles sont tenus de transmettre à la commission toute information et tout document nécessaires à l</w:t>
      </w:r>
      <w:r w:rsidR="00DF0296" w:rsidRPr="00DF0296">
        <w:rPr>
          <w:lang w:val="fr-FR"/>
        </w:rPr>
        <w:t>’</w:t>
      </w:r>
      <w:r w:rsidRPr="00DF0296">
        <w:rPr>
          <w:lang w:val="fr-FR"/>
        </w:rPr>
        <w:t>exercice de ses fonctions ou de lui permettre [d</w:t>
      </w:r>
      <w:r w:rsidR="00DF0296" w:rsidRPr="00DF0296">
        <w:rPr>
          <w:lang w:val="fr-FR"/>
        </w:rPr>
        <w:t>’</w:t>
      </w:r>
      <w:r w:rsidRPr="00DF0296">
        <w:rPr>
          <w:lang w:val="fr-FR"/>
        </w:rPr>
        <w:t>en prendre connaissance] sur place.</w:t>
      </w:r>
    </w:p>
    <w:p w:rsidR="006C279B" w:rsidRPr="00DF0296" w:rsidRDefault="006C279B" w:rsidP="00DF0296">
      <w:pPr>
        <w:pStyle w:val="ECHRTitleCentre3"/>
        <w:rPr>
          <w:lang w:val="fr-FR"/>
        </w:rPr>
      </w:pPr>
      <w:r w:rsidRPr="00DF0296">
        <w:rPr>
          <w:lang w:val="fr-FR"/>
        </w:rPr>
        <w:t>Confidentialité</w:t>
      </w:r>
    </w:p>
    <w:p w:rsidR="006C279B" w:rsidRPr="00DF0296" w:rsidRDefault="006C279B" w:rsidP="00DF0296">
      <w:pPr>
        <w:pStyle w:val="ECHRTitleCentre3"/>
        <w:rPr>
          <w:lang w:val="fr-FR"/>
        </w:rPr>
      </w:pPr>
      <w:r w:rsidRPr="00DF0296">
        <w:rPr>
          <w:lang w:val="fr-FR"/>
        </w:rPr>
        <w:t>Article 6</w:t>
      </w:r>
    </w:p>
    <w:p w:rsidR="006C279B" w:rsidRPr="00DF0296" w:rsidRDefault="006C279B" w:rsidP="00DF0296">
      <w:pPr>
        <w:pStyle w:val="ECHRParaQuote"/>
        <w:rPr>
          <w:lang w:val="fr-FR"/>
        </w:rPr>
      </w:pPr>
      <w:r w:rsidRPr="00DF0296">
        <w:rPr>
          <w:lang w:val="fr-FR"/>
        </w:rPr>
        <w:t>1) Les membres de la commission et les personnes qui sont chargées de travaux en son sein ne peuvent divulguer, si ce n</w:t>
      </w:r>
      <w:r w:rsidR="00DF0296" w:rsidRPr="00DF0296">
        <w:rPr>
          <w:lang w:val="fr-FR"/>
        </w:rPr>
        <w:t>’</w:t>
      </w:r>
      <w:r w:rsidRPr="00DF0296">
        <w:rPr>
          <w:lang w:val="fr-FR"/>
        </w:rPr>
        <w:t>est à des autorités habilitées par la loi à cet effet, les informations confidentielles concernant l</w:t>
      </w:r>
      <w:r w:rsidR="00DF0296" w:rsidRPr="00DF0296">
        <w:rPr>
          <w:lang w:val="fr-FR"/>
        </w:rPr>
        <w:t>’</w:t>
      </w:r>
      <w:r w:rsidRPr="00DF0296">
        <w:rPr>
          <w:lang w:val="fr-FR"/>
        </w:rPr>
        <w:t>intérêt public, les intéressés et les tiers, les données personnelles, les secrets commerciaux et les documents y afférents qu</w:t>
      </w:r>
      <w:r w:rsidR="00DF0296" w:rsidRPr="00DF0296">
        <w:rPr>
          <w:lang w:val="fr-FR"/>
        </w:rPr>
        <w:t>’</w:t>
      </w:r>
      <w:r w:rsidRPr="00DF0296">
        <w:rPr>
          <w:lang w:val="fr-FR"/>
        </w:rPr>
        <w:t>ils ont obtenus dans le cadre de leur mission ; ils ne peuvent les utiliser à leur propre profit ou au profit de tiers. Cette obligation continue à exister même après la fin de leur mandat.</w:t>
      </w:r>
    </w:p>
    <w:p w:rsidR="006C279B" w:rsidRPr="00DF0296" w:rsidRDefault="006C279B" w:rsidP="00DF0296">
      <w:pPr>
        <w:pStyle w:val="ECHRTitleCentre3"/>
        <w:rPr>
          <w:lang w:val="fr-FR"/>
        </w:rPr>
      </w:pPr>
      <w:r w:rsidRPr="00DF0296">
        <w:rPr>
          <w:lang w:val="fr-FR"/>
        </w:rPr>
        <w:t>Procédure et délais de recours</w:t>
      </w:r>
    </w:p>
    <w:p w:rsidR="006C279B" w:rsidRPr="00DF0296" w:rsidRDefault="006C279B" w:rsidP="00DF0296">
      <w:pPr>
        <w:pStyle w:val="ECHRTitleCentre3"/>
        <w:rPr>
          <w:lang w:val="fr-FR"/>
        </w:rPr>
      </w:pPr>
      <w:r w:rsidRPr="00DF0296">
        <w:rPr>
          <w:lang w:val="fr-FR"/>
        </w:rPr>
        <w:t>Article 7</w:t>
      </w:r>
    </w:p>
    <w:p w:rsidR="006C279B" w:rsidRPr="00DF0296" w:rsidRDefault="006C279B" w:rsidP="00DF0296">
      <w:pPr>
        <w:pStyle w:val="ECHRParaQuote"/>
        <w:rPr>
          <w:lang w:val="fr-FR"/>
        </w:rPr>
      </w:pPr>
      <w:r w:rsidRPr="00DF0296">
        <w:rPr>
          <w:lang w:val="fr-FR"/>
        </w:rPr>
        <w:t>1) Les recours sont introduits devant la commission par l</w:t>
      </w:r>
      <w:r w:rsidR="00DF0296" w:rsidRPr="00DF0296">
        <w:rPr>
          <w:lang w:val="fr-FR"/>
        </w:rPr>
        <w:t>’</w:t>
      </w:r>
      <w:r w:rsidRPr="00DF0296">
        <w:rPr>
          <w:lang w:val="fr-FR"/>
        </w:rPr>
        <w:t>intermédiaire des préfectures. Les personnes qui ont été révoquées/renvoyées ou exclues de la fonction publique, d</w:t>
      </w:r>
      <w:r w:rsidR="00DF0296" w:rsidRPr="00DF0296">
        <w:rPr>
          <w:lang w:val="fr-FR"/>
        </w:rPr>
        <w:t>’</w:t>
      </w:r>
      <w:r w:rsidRPr="00DF0296">
        <w:rPr>
          <w:lang w:val="fr-FR"/>
        </w:rPr>
        <w:t>une profession ou d</w:t>
      </w:r>
      <w:r w:rsidR="00DF0296" w:rsidRPr="00DF0296">
        <w:rPr>
          <w:lang w:val="fr-FR"/>
        </w:rPr>
        <w:t>’</w:t>
      </w:r>
      <w:r w:rsidRPr="00DF0296">
        <w:rPr>
          <w:lang w:val="fr-FR"/>
        </w:rPr>
        <w:t>un [organisme] peuvent également déposer leur recours auprès de l</w:t>
      </w:r>
      <w:r w:rsidR="00DF0296" w:rsidRPr="00DF0296">
        <w:rPr>
          <w:lang w:val="fr-FR"/>
        </w:rPr>
        <w:t>’</w:t>
      </w:r>
      <w:r w:rsidRPr="00DF0296">
        <w:rPr>
          <w:lang w:val="fr-FR"/>
        </w:rPr>
        <w:t>institution au sein de laquelle elles ont travaillé en dernier lieu. La date d</w:t>
      </w:r>
      <w:r w:rsidR="00DF0296" w:rsidRPr="00DF0296">
        <w:rPr>
          <w:lang w:val="fr-FR"/>
        </w:rPr>
        <w:t>’</w:t>
      </w:r>
      <w:r w:rsidRPr="00DF0296">
        <w:rPr>
          <w:lang w:val="fr-FR"/>
        </w:rPr>
        <w:t>introduction du recours est la date à laquelle le recours est déposé auprès de la préfecture ou de l</w:t>
      </w:r>
      <w:r w:rsidR="00DF0296" w:rsidRPr="00DF0296">
        <w:rPr>
          <w:lang w:val="fr-FR"/>
        </w:rPr>
        <w:t>’</w:t>
      </w:r>
      <w:r w:rsidRPr="00DF0296">
        <w:rPr>
          <w:lang w:val="fr-FR"/>
        </w:rPr>
        <w:t>institution concernée. Les préfectures et les institutions concernées transmettent sans délai les recours à la commission. Les recours répétitifs ne sont pas traités.</w:t>
      </w:r>
    </w:p>
    <w:p w:rsidR="006C279B" w:rsidRPr="00DF0296" w:rsidRDefault="006C279B" w:rsidP="00DF0296">
      <w:pPr>
        <w:pStyle w:val="ECHRParaQuote"/>
        <w:rPr>
          <w:lang w:val="fr-FR"/>
        </w:rPr>
      </w:pPr>
      <w:r w:rsidRPr="00DF0296">
        <w:rPr>
          <w:lang w:val="fr-FR"/>
        </w:rPr>
        <w:t>2) Les dispositions du deuxième paragraphe de l</w:t>
      </w:r>
      <w:r w:rsidR="00DF0296" w:rsidRPr="00DF0296">
        <w:rPr>
          <w:lang w:val="fr-FR"/>
        </w:rPr>
        <w:t>’</w:t>
      </w:r>
      <w:r w:rsidRPr="00DF0296">
        <w:rPr>
          <w:lang w:val="fr-FR"/>
        </w:rPr>
        <w:t>article 10 de la loi relative à la procédure administrative ne s</w:t>
      </w:r>
      <w:r w:rsidR="00DF0296" w:rsidRPr="00DF0296">
        <w:rPr>
          <w:lang w:val="fr-FR"/>
        </w:rPr>
        <w:t>’</w:t>
      </w:r>
      <w:r w:rsidRPr="00DF0296">
        <w:rPr>
          <w:lang w:val="fr-FR"/>
        </w:rPr>
        <w:t>appliquent pas aux recours introduits dans le cadre du présent décret-loi.</w:t>
      </w:r>
    </w:p>
    <w:p w:rsidR="006C279B" w:rsidRPr="00DF0296" w:rsidRDefault="006C279B" w:rsidP="00DF0296">
      <w:pPr>
        <w:pStyle w:val="ECHRParaQuote"/>
        <w:rPr>
          <w:lang w:val="fr-FR"/>
        </w:rPr>
      </w:pPr>
      <w:r w:rsidRPr="00DF0296">
        <w:rPr>
          <w:lang w:val="fr-FR"/>
        </w:rPr>
        <w:t>3) </w:t>
      </w:r>
      <w:r w:rsidR="001016E5" w:rsidRPr="00DF0296">
        <w:rPr>
          <w:lang w:val="fr-FR"/>
        </w:rPr>
        <w:t xml:space="preserve">Les recours </w:t>
      </w:r>
      <w:r w:rsidR="00EC16F3" w:rsidRPr="00DF0296">
        <w:rPr>
          <w:lang w:val="fr-FR"/>
        </w:rPr>
        <w:t xml:space="preserve">qui ne sont pas déposés dans un </w:t>
      </w:r>
      <w:r w:rsidR="001016E5" w:rsidRPr="00DF0296">
        <w:rPr>
          <w:lang w:val="fr-FR"/>
        </w:rPr>
        <w:t>délai de soixante jours à compter de la date de réception des recours [fixée par le Premier ministre] (</w:t>
      </w:r>
      <w:proofErr w:type="spellStart"/>
      <w:r w:rsidR="001016E5" w:rsidRPr="00DF0296">
        <w:rPr>
          <w:i/>
          <w:lang w:val="fr-FR"/>
        </w:rPr>
        <w:t>başvuru</w:t>
      </w:r>
      <w:proofErr w:type="spellEnd"/>
      <w:r w:rsidR="001016E5" w:rsidRPr="00DF0296">
        <w:rPr>
          <w:i/>
          <w:lang w:val="fr-FR"/>
        </w:rPr>
        <w:t xml:space="preserve"> alma </w:t>
      </w:r>
      <w:proofErr w:type="spellStart"/>
      <w:r w:rsidR="001016E5" w:rsidRPr="00DF0296">
        <w:rPr>
          <w:i/>
          <w:lang w:val="fr-FR"/>
        </w:rPr>
        <w:t>tarihi</w:t>
      </w:r>
      <w:proofErr w:type="spellEnd"/>
      <w:r w:rsidR="001016E5" w:rsidRPr="00DF0296">
        <w:rPr>
          <w:lang w:val="fr-FR"/>
        </w:rPr>
        <w:t>)</w:t>
      </w:r>
      <w:r w:rsidR="00EC16F3" w:rsidRPr="00DF0296">
        <w:rPr>
          <w:lang w:val="fr-FR"/>
        </w:rPr>
        <w:t>, s</w:t>
      </w:r>
      <w:r w:rsidR="00DF0296" w:rsidRPr="00DF0296">
        <w:rPr>
          <w:lang w:val="fr-FR"/>
        </w:rPr>
        <w:t>’</w:t>
      </w:r>
      <w:r w:rsidR="00EC16F3" w:rsidRPr="00DF0296">
        <w:rPr>
          <w:lang w:val="fr-FR"/>
        </w:rPr>
        <w:t xml:space="preserve">agissant de </w:t>
      </w:r>
      <w:proofErr w:type="spellStart"/>
      <w:r w:rsidR="00EC16F3" w:rsidRPr="00DF0296">
        <w:rPr>
          <w:lang w:val="fr-FR"/>
        </w:rPr>
        <w:t>décrets</w:t>
      </w:r>
      <w:r w:rsidR="00926AB3" w:rsidRPr="00DF0296">
        <w:rPr>
          <w:lang w:val="fr-FR"/>
        </w:rPr>
        <w:t>-</w:t>
      </w:r>
      <w:r w:rsidR="00EC16F3" w:rsidRPr="00DF0296">
        <w:rPr>
          <w:lang w:val="fr-FR"/>
        </w:rPr>
        <w:t>lois</w:t>
      </w:r>
      <w:proofErr w:type="spellEnd"/>
      <w:r w:rsidR="00EC16F3" w:rsidRPr="00DF0296">
        <w:rPr>
          <w:lang w:val="fr-FR"/>
        </w:rPr>
        <w:t xml:space="preserve"> entrés en vigueur avant la date à laquelle la commission commence à recevoir des recours, ne sont pas examinés.</w:t>
      </w:r>
      <w:r w:rsidR="001016E5" w:rsidRPr="00DF0296">
        <w:rPr>
          <w:lang w:val="fr-FR"/>
        </w:rPr>
        <w:t xml:space="preserve"> Il en va de même s</w:t>
      </w:r>
      <w:r w:rsidR="00DF0296" w:rsidRPr="00DF0296">
        <w:rPr>
          <w:lang w:val="fr-FR"/>
        </w:rPr>
        <w:t>’</w:t>
      </w:r>
      <w:r w:rsidR="001016E5" w:rsidRPr="00DF0296">
        <w:rPr>
          <w:lang w:val="fr-FR"/>
        </w:rPr>
        <w:t>agissant des recours visant les décrets lois entrés en vigueur après la date [susmentionnée] s</w:t>
      </w:r>
      <w:r w:rsidR="00DF0296" w:rsidRPr="00DF0296">
        <w:rPr>
          <w:lang w:val="fr-FR"/>
        </w:rPr>
        <w:t>’</w:t>
      </w:r>
      <w:r w:rsidR="001016E5" w:rsidRPr="00DF0296">
        <w:rPr>
          <w:lang w:val="fr-FR"/>
        </w:rPr>
        <w:t>ils ne sont pas déposés dans un délai de soixante jours à compter de la date de publication au Journal officiel du décret-loi concerné.</w:t>
      </w:r>
    </w:p>
    <w:p w:rsidR="006C279B" w:rsidRPr="00DF0296" w:rsidRDefault="006C279B" w:rsidP="00DF0296">
      <w:pPr>
        <w:pStyle w:val="ECHRTitleCentre3"/>
        <w:rPr>
          <w:lang w:val="fr-FR"/>
        </w:rPr>
      </w:pPr>
      <w:r w:rsidRPr="00DF0296">
        <w:rPr>
          <w:lang w:val="fr-FR"/>
        </w:rPr>
        <w:t>Examen préliminaire</w:t>
      </w:r>
    </w:p>
    <w:p w:rsidR="006C279B" w:rsidRPr="00DF0296" w:rsidRDefault="006C279B" w:rsidP="00DF0296">
      <w:pPr>
        <w:pStyle w:val="ECHRTitleCentre3"/>
        <w:rPr>
          <w:lang w:val="fr-FR"/>
        </w:rPr>
      </w:pPr>
      <w:r w:rsidRPr="00DF0296">
        <w:rPr>
          <w:lang w:val="fr-FR"/>
        </w:rPr>
        <w:t>Article 8</w:t>
      </w:r>
    </w:p>
    <w:p w:rsidR="008A3A64" w:rsidRPr="00DF0296" w:rsidRDefault="006C279B" w:rsidP="00DF0296">
      <w:pPr>
        <w:pStyle w:val="ECHRParaQuote"/>
        <w:rPr>
          <w:lang w:val="fr-FR"/>
        </w:rPr>
      </w:pPr>
      <w:r w:rsidRPr="00DF0296">
        <w:rPr>
          <w:lang w:val="fr-FR"/>
        </w:rPr>
        <w:t>1) Les recours présentés à la commission sont soumis à un examen préliminaire de conformité aux conditions requises. (</w:t>
      </w:r>
      <w:r w:rsidR="008A3A64" w:rsidRPr="00DF0296">
        <w:rPr>
          <w:lang w:val="fr-FR"/>
        </w:rPr>
        <w:t>...</w:t>
      </w:r>
      <w:r w:rsidRPr="00DF0296">
        <w:rPr>
          <w:lang w:val="fr-FR"/>
        </w:rPr>
        <w:t>)</w:t>
      </w:r>
    </w:p>
    <w:p w:rsidR="006C279B" w:rsidRPr="00DF0296" w:rsidRDefault="006C279B" w:rsidP="00DF0296">
      <w:pPr>
        <w:pStyle w:val="ECHRTitleCentre3"/>
        <w:rPr>
          <w:lang w:val="fr-FR"/>
        </w:rPr>
      </w:pPr>
      <w:r w:rsidRPr="00DF0296">
        <w:rPr>
          <w:lang w:val="fr-FR"/>
        </w:rPr>
        <w:t>Examen et décision</w:t>
      </w:r>
    </w:p>
    <w:p w:rsidR="006C279B" w:rsidRPr="00DF0296" w:rsidRDefault="006C279B" w:rsidP="00DF0296">
      <w:pPr>
        <w:pStyle w:val="ECHRTitleCentre3"/>
        <w:rPr>
          <w:lang w:val="fr-FR"/>
        </w:rPr>
      </w:pPr>
      <w:r w:rsidRPr="00DF0296">
        <w:rPr>
          <w:lang w:val="fr-FR"/>
        </w:rPr>
        <w:t>Article 9</w:t>
      </w:r>
    </w:p>
    <w:p w:rsidR="008A3A64" w:rsidRPr="00DF0296" w:rsidRDefault="006C279B" w:rsidP="00DF0296">
      <w:pPr>
        <w:pStyle w:val="ECHRParaQuote"/>
        <w:rPr>
          <w:lang w:val="fr-FR"/>
        </w:rPr>
      </w:pPr>
      <w:r w:rsidRPr="00DF0296">
        <w:rPr>
          <w:lang w:val="fr-FR"/>
        </w:rPr>
        <w:t>1) La commission procède à un examen sur dossier. À la suite de son examen, elle peut accueillir ou rejeter le recours.</w:t>
      </w:r>
    </w:p>
    <w:p w:rsidR="008A3A64" w:rsidRPr="00DF0296" w:rsidRDefault="006C279B" w:rsidP="00DF0296">
      <w:pPr>
        <w:pStyle w:val="ECHRTitleCentre3"/>
        <w:rPr>
          <w:lang w:val="fr-FR"/>
        </w:rPr>
      </w:pPr>
      <w:r w:rsidRPr="00DF0296">
        <w:rPr>
          <w:lang w:val="fr-FR"/>
        </w:rPr>
        <w:t>Exécution des décisions</w:t>
      </w:r>
    </w:p>
    <w:p w:rsidR="006C279B" w:rsidRPr="00DF0296" w:rsidRDefault="006C279B" w:rsidP="00DF0296">
      <w:pPr>
        <w:pStyle w:val="ECHRTitleCentre3"/>
        <w:rPr>
          <w:lang w:val="fr-FR"/>
        </w:rPr>
      </w:pPr>
      <w:r w:rsidRPr="00DF0296">
        <w:rPr>
          <w:lang w:val="fr-FR"/>
        </w:rPr>
        <w:t>Article 10</w:t>
      </w:r>
    </w:p>
    <w:p w:rsidR="006C279B" w:rsidRPr="00DF0296" w:rsidRDefault="006C279B" w:rsidP="00DF0296">
      <w:pPr>
        <w:pStyle w:val="ECHRParaQuote"/>
        <w:rPr>
          <w:lang w:val="fr-FR"/>
        </w:rPr>
      </w:pPr>
      <w:r w:rsidRPr="00DF0296">
        <w:rPr>
          <w:lang w:val="fr-FR"/>
        </w:rPr>
        <w:t>1) En cas d</w:t>
      </w:r>
      <w:r w:rsidR="00DF0296" w:rsidRPr="00DF0296">
        <w:rPr>
          <w:lang w:val="fr-FR"/>
        </w:rPr>
        <w:t>’</w:t>
      </w:r>
      <w:r w:rsidRPr="00DF0296">
        <w:rPr>
          <w:lang w:val="fr-FR"/>
        </w:rPr>
        <w:t>admission des recours relatifs à la révocation/au renvoi ou à l</w:t>
      </w:r>
      <w:r w:rsidR="00DF0296" w:rsidRPr="00DF0296">
        <w:rPr>
          <w:lang w:val="fr-FR"/>
        </w:rPr>
        <w:t>’</w:t>
      </w:r>
      <w:r w:rsidRPr="00DF0296">
        <w:rPr>
          <w:lang w:val="fr-FR"/>
        </w:rPr>
        <w:t>exclusion de la fonction publique, d</w:t>
      </w:r>
      <w:r w:rsidR="00DF0296" w:rsidRPr="00DF0296">
        <w:rPr>
          <w:lang w:val="fr-FR"/>
        </w:rPr>
        <w:t>’</w:t>
      </w:r>
      <w:r w:rsidRPr="00DF0296">
        <w:rPr>
          <w:lang w:val="fr-FR"/>
        </w:rPr>
        <w:t>une profession ou d</w:t>
      </w:r>
      <w:r w:rsidR="00DF0296" w:rsidRPr="00DF0296">
        <w:rPr>
          <w:lang w:val="fr-FR"/>
        </w:rPr>
        <w:t>’</w:t>
      </w:r>
      <w:r w:rsidRPr="00DF0296">
        <w:rPr>
          <w:lang w:val="fr-FR"/>
        </w:rPr>
        <w:t>un [organisme], la décision de la commission est transmise au directeur général de l</w:t>
      </w:r>
      <w:r w:rsidR="00DF0296" w:rsidRPr="00DF0296">
        <w:rPr>
          <w:lang w:val="fr-FR"/>
        </w:rPr>
        <w:t>’</w:t>
      </w:r>
      <w:r w:rsidRPr="00DF0296">
        <w:rPr>
          <w:lang w:val="fr-FR"/>
        </w:rPr>
        <w:t>administration. La proposition de nomination du personnel (</w:t>
      </w:r>
      <w:r w:rsidR="008A3A64" w:rsidRPr="00DF0296">
        <w:rPr>
          <w:lang w:val="fr-FR"/>
        </w:rPr>
        <w:t>...</w:t>
      </w:r>
      <w:r w:rsidRPr="00DF0296">
        <w:rPr>
          <w:lang w:val="fr-FR"/>
        </w:rPr>
        <w:t>) est faite dans un délai de quinze jours par le directeur général de l</w:t>
      </w:r>
      <w:r w:rsidR="00DF0296" w:rsidRPr="00DF0296">
        <w:rPr>
          <w:lang w:val="fr-FR"/>
        </w:rPr>
        <w:t>’</w:t>
      </w:r>
      <w:r w:rsidRPr="00DF0296">
        <w:rPr>
          <w:lang w:val="fr-FR"/>
        </w:rPr>
        <w:t>administration (</w:t>
      </w:r>
      <w:r w:rsidR="008A3A64" w:rsidRPr="00DF0296">
        <w:rPr>
          <w:lang w:val="fr-FR"/>
        </w:rPr>
        <w:t>...</w:t>
      </w:r>
      <w:r w:rsidRPr="00DF0296">
        <w:rPr>
          <w:lang w:val="fr-FR"/>
        </w:rPr>
        <w:t>)</w:t>
      </w:r>
    </w:p>
    <w:p w:rsidR="006C279B" w:rsidRPr="00DF0296" w:rsidRDefault="006C279B" w:rsidP="00DF0296">
      <w:pPr>
        <w:pStyle w:val="ECHRParaQuote"/>
        <w:rPr>
          <w:lang w:val="fr-FR"/>
        </w:rPr>
      </w:pPr>
      <w:r w:rsidRPr="00DF0296">
        <w:rPr>
          <w:lang w:val="fr-FR"/>
        </w:rPr>
        <w:t>2) En cas d</w:t>
      </w:r>
      <w:r w:rsidR="00DF0296" w:rsidRPr="00DF0296">
        <w:rPr>
          <w:lang w:val="fr-FR"/>
        </w:rPr>
        <w:t>’</w:t>
      </w:r>
      <w:r w:rsidRPr="00DF0296">
        <w:rPr>
          <w:lang w:val="fr-FR"/>
        </w:rPr>
        <w:t>admission des recours relatifs à l</w:t>
      </w:r>
      <w:r w:rsidR="00DF0296" w:rsidRPr="00DF0296">
        <w:rPr>
          <w:lang w:val="fr-FR"/>
        </w:rPr>
        <w:t>’</w:t>
      </w:r>
      <w:r w:rsidRPr="00DF0296">
        <w:rPr>
          <w:lang w:val="fr-FR"/>
        </w:rPr>
        <w:t>interdiction ou à la fermeture d</w:t>
      </w:r>
      <w:r w:rsidR="00DF0296" w:rsidRPr="00DF0296">
        <w:rPr>
          <w:lang w:val="fr-FR"/>
        </w:rPr>
        <w:t>’</w:t>
      </w:r>
      <w:r w:rsidRPr="00DF0296">
        <w:rPr>
          <w:lang w:val="fr-FR"/>
        </w:rPr>
        <w:t>organismes ou d</w:t>
      </w:r>
      <w:r w:rsidR="00DF0296" w:rsidRPr="00DF0296">
        <w:rPr>
          <w:lang w:val="fr-FR"/>
        </w:rPr>
        <w:t>’</w:t>
      </w:r>
      <w:r w:rsidRPr="00DF0296">
        <w:rPr>
          <w:lang w:val="fr-FR"/>
        </w:rPr>
        <w:t>établissements, les dispositions pertinentes du décret-loi concerné portant sur l</w:t>
      </w:r>
      <w:r w:rsidR="00DF0296" w:rsidRPr="00DF0296">
        <w:rPr>
          <w:lang w:val="fr-FR"/>
        </w:rPr>
        <w:t>’</w:t>
      </w:r>
      <w:r w:rsidRPr="00DF0296">
        <w:rPr>
          <w:lang w:val="fr-FR"/>
        </w:rPr>
        <w:t>organisme ou établissement en cause sont réputées nulles à partir de la date de publication du décret-loi en question. Les démarches nécessaires en ce sens sont accomplies par le ministère de l</w:t>
      </w:r>
      <w:r w:rsidR="00DF0296" w:rsidRPr="00DF0296">
        <w:rPr>
          <w:lang w:val="fr-FR"/>
        </w:rPr>
        <w:t>’</w:t>
      </w:r>
      <w:r w:rsidRPr="00DF0296">
        <w:rPr>
          <w:lang w:val="fr-FR"/>
        </w:rPr>
        <w:t>Intérieur, le ministère des Finances, le ministère de la Santé ou la direction générale des Fondations en fonction de la nature des mesures en question.</w:t>
      </w:r>
    </w:p>
    <w:p w:rsidR="006C279B" w:rsidRPr="00DF0296" w:rsidRDefault="006C279B" w:rsidP="00DF0296">
      <w:pPr>
        <w:pStyle w:val="ECHRTitleCentre3"/>
        <w:rPr>
          <w:lang w:val="fr-FR"/>
        </w:rPr>
      </w:pPr>
      <w:r w:rsidRPr="00DF0296">
        <w:rPr>
          <w:lang w:val="fr-FR"/>
        </w:rPr>
        <w:t>Contrôle juridictionnel</w:t>
      </w:r>
    </w:p>
    <w:p w:rsidR="006C279B" w:rsidRPr="00DF0296" w:rsidRDefault="006C279B" w:rsidP="00DF0296">
      <w:pPr>
        <w:pStyle w:val="ECHRTitleCentre3"/>
        <w:rPr>
          <w:lang w:val="fr-FR"/>
        </w:rPr>
      </w:pPr>
      <w:r w:rsidRPr="00DF0296">
        <w:rPr>
          <w:lang w:val="fr-FR"/>
        </w:rPr>
        <w:t>Article 11</w:t>
      </w:r>
    </w:p>
    <w:p w:rsidR="008A3A64" w:rsidRPr="00DF0296" w:rsidRDefault="006C279B" w:rsidP="00DF0296">
      <w:pPr>
        <w:pStyle w:val="ECHRParaQuote"/>
        <w:rPr>
          <w:lang w:val="fr-FR"/>
        </w:rPr>
      </w:pPr>
      <w:r w:rsidRPr="00DF0296">
        <w:rPr>
          <w:lang w:val="fr-FR"/>
        </w:rPr>
        <w:t>1) Les décisions de la commission peuvent faire l</w:t>
      </w:r>
      <w:r w:rsidR="00DF0296" w:rsidRPr="00DF0296">
        <w:rPr>
          <w:lang w:val="fr-FR"/>
        </w:rPr>
        <w:t>’</w:t>
      </w:r>
      <w:r w:rsidRPr="00DF0296">
        <w:rPr>
          <w:lang w:val="fr-FR"/>
        </w:rPr>
        <w:t>objet d</w:t>
      </w:r>
      <w:r w:rsidR="00DF0296" w:rsidRPr="00DF0296">
        <w:rPr>
          <w:lang w:val="fr-FR"/>
        </w:rPr>
        <w:t>’</w:t>
      </w:r>
      <w:r w:rsidRPr="00DF0296">
        <w:rPr>
          <w:lang w:val="fr-FR"/>
        </w:rPr>
        <w:t>un recours en annulation devant les tribunaux administratifs d</w:t>
      </w:r>
      <w:r w:rsidR="00DF0296" w:rsidRPr="00DF0296">
        <w:rPr>
          <w:lang w:val="fr-FR"/>
        </w:rPr>
        <w:t>’</w:t>
      </w:r>
      <w:r w:rsidRPr="00DF0296">
        <w:rPr>
          <w:lang w:val="fr-FR"/>
        </w:rPr>
        <w:t>Ankara qui seront désignés par le Conseil supérieur de la magistrature.</w:t>
      </w:r>
    </w:p>
    <w:p w:rsidR="006C279B" w:rsidRPr="00DF0296" w:rsidRDefault="006C279B" w:rsidP="00DF0296">
      <w:pPr>
        <w:pStyle w:val="ECHRParaQuote"/>
        <w:rPr>
          <w:lang w:val="fr-FR"/>
        </w:rPr>
      </w:pPr>
      <w:r w:rsidRPr="00DF0296">
        <w:rPr>
          <w:lang w:val="fr-FR"/>
        </w:rPr>
        <w:t>(</w:t>
      </w:r>
      <w:r w:rsidR="008A3A64" w:rsidRPr="00DF0296">
        <w:rPr>
          <w:lang w:val="fr-FR"/>
        </w:rPr>
        <w:t>...</w:t>
      </w:r>
      <w:r w:rsidRPr="00DF0296">
        <w:rPr>
          <w:lang w:val="fr-FR"/>
        </w:rPr>
        <w:t>)</w:t>
      </w:r>
    </w:p>
    <w:p w:rsidR="006C279B" w:rsidRPr="00DF0296" w:rsidRDefault="006C279B" w:rsidP="00DF0296">
      <w:pPr>
        <w:pStyle w:val="ECHRTitleCentre3"/>
        <w:rPr>
          <w:lang w:val="fr-FR"/>
        </w:rPr>
      </w:pPr>
      <w:r w:rsidRPr="00DF0296">
        <w:rPr>
          <w:lang w:val="fr-FR"/>
        </w:rPr>
        <w:t>Dispositions transitoires</w:t>
      </w:r>
    </w:p>
    <w:p w:rsidR="008A3A64" w:rsidRPr="00DF0296" w:rsidRDefault="006C279B" w:rsidP="00DF0296">
      <w:pPr>
        <w:pStyle w:val="ECHRTitleCentre3"/>
        <w:rPr>
          <w:lang w:val="fr-FR"/>
        </w:rPr>
      </w:pPr>
      <w:r w:rsidRPr="00DF0296">
        <w:rPr>
          <w:lang w:val="fr-FR"/>
        </w:rPr>
        <w:t>Article 1</w:t>
      </w:r>
    </w:p>
    <w:p w:rsidR="008A3A64" w:rsidRPr="00DF0296" w:rsidRDefault="006C279B" w:rsidP="00DF0296">
      <w:pPr>
        <w:pStyle w:val="ECHRParaQuote"/>
        <w:rPr>
          <w:lang w:val="fr-FR" w:bidi="en-US"/>
        </w:rPr>
      </w:pPr>
      <w:r w:rsidRPr="00DF0296">
        <w:rPr>
          <w:lang w:val="fr-FR" w:bidi="en-US"/>
        </w:rPr>
        <w:t>1) Les membres de la commission sont désignés dans un délai d</w:t>
      </w:r>
      <w:r w:rsidR="00DF0296" w:rsidRPr="00DF0296">
        <w:rPr>
          <w:lang w:val="fr-FR" w:bidi="en-US"/>
        </w:rPr>
        <w:t>’</w:t>
      </w:r>
      <w:r w:rsidRPr="00DF0296">
        <w:rPr>
          <w:lang w:val="fr-FR" w:bidi="en-US"/>
        </w:rPr>
        <w:t>un mois suivant [l</w:t>
      </w:r>
      <w:r w:rsidR="00DF0296" w:rsidRPr="00DF0296">
        <w:rPr>
          <w:lang w:val="fr-FR" w:bidi="en-US"/>
        </w:rPr>
        <w:t>’</w:t>
      </w:r>
      <w:r w:rsidRPr="00DF0296">
        <w:rPr>
          <w:lang w:val="fr-FR" w:bidi="en-US"/>
        </w:rPr>
        <w:t>entrée en vigueur] du présent article.</w:t>
      </w:r>
    </w:p>
    <w:p w:rsidR="008A3A64" w:rsidRPr="00DF0296" w:rsidRDefault="006C279B" w:rsidP="00DF0296">
      <w:pPr>
        <w:pStyle w:val="ECHRParaQuote"/>
        <w:rPr>
          <w:lang w:val="fr-FR" w:bidi="en-US"/>
        </w:rPr>
      </w:pPr>
      <w:r w:rsidRPr="00DF0296">
        <w:rPr>
          <w:lang w:val="fr-FR" w:bidi="en-US"/>
        </w:rPr>
        <w:t>2) La date de réception des recours par la commission sera [fixée et] publiée par le Premier ministre dans un délai maximum de six mois suivant [l</w:t>
      </w:r>
      <w:r w:rsidR="00DF0296" w:rsidRPr="00DF0296">
        <w:rPr>
          <w:lang w:val="fr-FR" w:bidi="en-US"/>
        </w:rPr>
        <w:t>’</w:t>
      </w:r>
      <w:r w:rsidRPr="00DF0296">
        <w:rPr>
          <w:lang w:val="fr-FR" w:bidi="en-US"/>
        </w:rPr>
        <w:t>entrée en vigueur] du présent [décret-loi].</w:t>
      </w:r>
    </w:p>
    <w:p w:rsidR="006C279B" w:rsidRPr="00DF0296" w:rsidRDefault="006C279B" w:rsidP="00DF0296">
      <w:pPr>
        <w:pStyle w:val="ECHRParaQuote"/>
        <w:rPr>
          <w:lang w:val="fr-FR" w:bidi="en-US"/>
        </w:rPr>
      </w:pPr>
      <w:r w:rsidRPr="00DF0296">
        <w:rPr>
          <w:lang w:val="fr-FR" w:bidi="en-US"/>
        </w:rPr>
        <w:t>3) La procédure et les délais prévus à l</w:t>
      </w:r>
      <w:r w:rsidR="00DF0296" w:rsidRPr="00DF0296">
        <w:rPr>
          <w:lang w:val="fr-FR" w:bidi="en-US"/>
        </w:rPr>
        <w:t>’</w:t>
      </w:r>
      <w:r w:rsidRPr="00DF0296">
        <w:rPr>
          <w:lang w:val="fr-FR" w:bidi="en-US"/>
        </w:rPr>
        <w:t>article 7 [du présent décret-loi] sont également applicables aux personnes ayant déjà saisi une juridiction ou introduit une action.</w:t>
      </w:r>
    </w:p>
    <w:p w:rsidR="006C279B" w:rsidRPr="00DF0296" w:rsidRDefault="006C279B" w:rsidP="00DF0296">
      <w:pPr>
        <w:pStyle w:val="ECHRParaQuote"/>
        <w:rPr>
          <w:lang w:val="fr-FR" w:bidi="en-US"/>
        </w:rPr>
      </w:pPr>
      <w:r w:rsidRPr="00DF0296">
        <w:rPr>
          <w:lang w:val="fr-FR" w:bidi="en-US"/>
        </w:rPr>
        <w:t>(</w:t>
      </w:r>
      <w:r w:rsidR="008A3A64" w:rsidRPr="00DF0296">
        <w:rPr>
          <w:lang w:val="fr-FR" w:bidi="en-US"/>
        </w:rPr>
        <w:t>...</w:t>
      </w:r>
      <w:r w:rsidRPr="00DF0296">
        <w:rPr>
          <w:lang w:val="fr-FR" w:bidi="en-US"/>
        </w:rPr>
        <w:t>) »</w:t>
      </w:r>
    </w:p>
    <w:p w:rsidR="008A3A64" w:rsidRPr="00DF0296" w:rsidRDefault="006C279B" w:rsidP="00DF0296">
      <w:pPr>
        <w:pStyle w:val="ECHRPara"/>
        <w:rPr>
          <w:lang w:val="fr-FR"/>
        </w:rPr>
      </w:pPr>
      <w:r w:rsidRPr="00DF0296">
        <w:rPr>
          <w:bCs/>
          <w:lang w:val="fr-FR"/>
        </w:rPr>
        <w:t>17.</w:t>
      </w:r>
      <w:r w:rsidRPr="00DF0296">
        <w:rPr>
          <w:b/>
          <w:bCs/>
          <w:lang w:val="fr-FR"/>
        </w:rPr>
        <w:t>  </w:t>
      </w:r>
      <w:r w:rsidRPr="00DF0296">
        <w:rPr>
          <w:lang w:val="fr-FR"/>
        </w:rPr>
        <w:t>Par ailleurs, dans le décret-loi n</w:t>
      </w:r>
      <w:r w:rsidR="008A3A64" w:rsidRPr="00DF0296">
        <w:rPr>
          <w:vertAlign w:val="superscript"/>
          <w:lang w:val="fr-FR"/>
        </w:rPr>
        <w:t>o</w:t>
      </w:r>
      <w:r w:rsidRPr="00DF0296">
        <w:rPr>
          <w:lang w:val="fr-FR"/>
        </w:rPr>
        <w:t xml:space="preserve"> 690 publié le 29 avril 2017, un chapitre comportant des dispositions s</w:t>
      </w:r>
      <w:r w:rsidR="00667C68" w:rsidRPr="00DF0296">
        <w:rPr>
          <w:lang w:val="fr-FR"/>
        </w:rPr>
        <w:t>ur le statut des membres de la c</w:t>
      </w:r>
      <w:r w:rsidRPr="00DF0296">
        <w:rPr>
          <w:lang w:val="fr-FR"/>
        </w:rPr>
        <w:t>ommission (art. 52) et sur certains aspects de la procédure qu</w:t>
      </w:r>
      <w:r w:rsidR="00DF0296" w:rsidRPr="00DF0296">
        <w:rPr>
          <w:lang w:val="fr-FR"/>
        </w:rPr>
        <w:t>’</w:t>
      </w:r>
      <w:r w:rsidRPr="00DF0296">
        <w:rPr>
          <w:lang w:val="fr-FR"/>
        </w:rPr>
        <w:t>elle devrait suivre (art. 53-57) a été consacré à cette commission. Enfin, par une lettre du 24 mai 2017, le Gouvernement a informé la Cour que les sept memb</w:t>
      </w:r>
      <w:r w:rsidR="00667C68" w:rsidRPr="00DF0296">
        <w:rPr>
          <w:lang w:val="fr-FR"/>
        </w:rPr>
        <w:t>res de la c</w:t>
      </w:r>
      <w:r w:rsidRPr="00DF0296">
        <w:rPr>
          <w:lang w:val="fr-FR"/>
        </w:rPr>
        <w:t>ommission avaient été nommés le 16 mai 2017 par le Premier ministre.</w:t>
      </w:r>
    </w:p>
    <w:p w:rsidR="006C279B" w:rsidRPr="00DF0296" w:rsidRDefault="006C279B" w:rsidP="00DF0296">
      <w:pPr>
        <w:pStyle w:val="ECHRHeading2"/>
        <w:rPr>
          <w:lang w:val="fr-FR"/>
        </w:rPr>
      </w:pPr>
      <w:r w:rsidRPr="00DF0296">
        <w:rPr>
          <w:lang w:val="fr-FR"/>
        </w:rPr>
        <w:t>C.  L</w:t>
      </w:r>
      <w:r w:rsidR="00DF0296" w:rsidRPr="00DF0296">
        <w:rPr>
          <w:lang w:val="fr-FR"/>
        </w:rPr>
        <w:t>’</w:t>
      </w:r>
      <w:r w:rsidRPr="00DF0296">
        <w:rPr>
          <w:lang w:val="fr-FR"/>
        </w:rPr>
        <w:t>avis n</w:t>
      </w:r>
      <w:r w:rsidR="008A3A64" w:rsidRPr="00DF0296">
        <w:rPr>
          <w:vertAlign w:val="superscript"/>
          <w:lang w:val="fr-FR"/>
        </w:rPr>
        <w:t>o</w:t>
      </w:r>
      <w:r w:rsidRPr="00DF0296">
        <w:rPr>
          <w:lang w:val="fr-FR"/>
        </w:rPr>
        <w:t xml:space="preserve"> 865/2016 de la Commission européenne pour la démocratie par le droit (« la Commission de Venise ») sur les </w:t>
      </w:r>
      <w:proofErr w:type="spellStart"/>
      <w:r w:rsidRPr="00DF0296">
        <w:rPr>
          <w:lang w:val="fr-FR"/>
        </w:rPr>
        <w:t>décrets-lois</w:t>
      </w:r>
      <w:proofErr w:type="spellEnd"/>
      <w:r w:rsidRPr="00DF0296">
        <w:rPr>
          <w:lang w:val="fr-FR"/>
        </w:rPr>
        <w:t xml:space="preserve"> n</w:t>
      </w:r>
      <w:r w:rsidRPr="00DF0296">
        <w:rPr>
          <w:vertAlign w:val="superscript"/>
          <w:lang w:val="fr-FR"/>
        </w:rPr>
        <w:t>os</w:t>
      </w:r>
      <w:r w:rsidRPr="00DF0296">
        <w:rPr>
          <w:lang w:val="fr-FR"/>
        </w:rPr>
        <w:t> 667</w:t>
      </w:r>
      <w:r w:rsidRPr="00DF0296">
        <w:rPr>
          <w:lang w:val="fr-FR"/>
        </w:rPr>
        <w:noBreakHyphen/>
        <w:t>676 édictés dans le cadre de l</w:t>
      </w:r>
      <w:r w:rsidR="00DF0296" w:rsidRPr="00DF0296">
        <w:rPr>
          <w:lang w:val="fr-FR"/>
        </w:rPr>
        <w:t>’</w:t>
      </w:r>
      <w:r w:rsidRPr="00DF0296">
        <w:rPr>
          <w:lang w:val="fr-FR"/>
        </w:rPr>
        <w:t>état d</w:t>
      </w:r>
      <w:r w:rsidR="00DF0296" w:rsidRPr="00DF0296">
        <w:rPr>
          <w:lang w:val="fr-FR"/>
        </w:rPr>
        <w:t>’</w:t>
      </w:r>
      <w:r w:rsidRPr="00DF0296">
        <w:rPr>
          <w:lang w:val="fr-FR"/>
        </w:rPr>
        <w:t>urgence après la tentative de coup d</w:t>
      </w:r>
      <w:r w:rsidR="00DF0296" w:rsidRPr="00DF0296">
        <w:rPr>
          <w:lang w:val="fr-FR"/>
        </w:rPr>
        <w:t>’</w:t>
      </w:r>
      <w:r w:rsidRPr="00DF0296">
        <w:rPr>
          <w:lang w:val="fr-FR"/>
        </w:rPr>
        <w:t>État du 15 juillet 2016</w:t>
      </w:r>
    </w:p>
    <w:p w:rsidR="008A3A64" w:rsidRPr="00DF0296" w:rsidRDefault="006C279B" w:rsidP="00DF0296">
      <w:pPr>
        <w:pStyle w:val="ECHRPara"/>
        <w:rPr>
          <w:lang w:val="fr-FR"/>
        </w:rPr>
      </w:pPr>
      <w:r w:rsidRPr="00DF0296">
        <w:rPr>
          <w:lang w:val="fr-FR"/>
        </w:rPr>
        <w:t>18.  Lors de sa 109</w:t>
      </w:r>
      <w:r w:rsidRPr="00DF0296">
        <w:rPr>
          <w:vertAlign w:val="superscript"/>
          <w:lang w:val="fr-FR"/>
        </w:rPr>
        <w:t>e</w:t>
      </w:r>
      <w:r w:rsidRPr="00DF0296">
        <w:rPr>
          <w:lang w:val="fr-FR"/>
        </w:rPr>
        <w:t xml:space="preserve"> session plénière (9-10 décembre 2016), la Commission de Venise a adopté l</w:t>
      </w:r>
      <w:r w:rsidR="00DF0296" w:rsidRPr="00DF0296">
        <w:rPr>
          <w:lang w:val="fr-FR"/>
        </w:rPr>
        <w:t>’</w:t>
      </w:r>
      <w:r w:rsidRPr="00DF0296">
        <w:rPr>
          <w:lang w:val="fr-FR"/>
        </w:rPr>
        <w:t>avis n</w:t>
      </w:r>
      <w:r w:rsidR="008A3A64" w:rsidRPr="00DF0296">
        <w:rPr>
          <w:vertAlign w:val="superscript"/>
          <w:lang w:val="fr-FR"/>
        </w:rPr>
        <w:t>o</w:t>
      </w:r>
      <w:r w:rsidRPr="00DF0296">
        <w:rPr>
          <w:lang w:val="fr-FR"/>
        </w:rPr>
        <w:t xml:space="preserve"> 865/2016 sur les </w:t>
      </w:r>
      <w:proofErr w:type="spellStart"/>
      <w:r w:rsidRPr="00DF0296">
        <w:rPr>
          <w:lang w:val="fr-FR"/>
        </w:rPr>
        <w:t>décrets-lois</w:t>
      </w:r>
      <w:proofErr w:type="spellEnd"/>
      <w:r w:rsidRPr="00DF0296">
        <w:rPr>
          <w:lang w:val="fr-FR"/>
        </w:rPr>
        <w:t xml:space="preserve"> n</w:t>
      </w:r>
      <w:r w:rsidRPr="00DF0296">
        <w:rPr>
          <w:vertAlign w:val="superscript"/>
          <w:lang w:val="fr-FR"/>
        </w:rPr>
        <w:t>os</w:t>
      </w:r>
      <w:r w:rsidRPr="00DF0296">
        <w:rPr>
          <w:lang w:val="fr-FR"/>
        </w:rPr>
        <w:t> 667-676 édictés dans le cadre de l</w:t>
      </w:r>
      <w:r w:rsidR="00DF0296" w:rsidRPr="00DF0296">
        <w:rPr>
          <w:lang w:val="fr-FR"/>
        </w:rPr>
        <w:t>’</w:t>
      </w:r>
      <w:r w:rsidRPr="00DF0296">
        <w:rPr>
          <w:lang w:val="fr-FR"/>
        </w:rPr>
        <w:t>état d</w:t>
      </w:r>
      <w:r w:rsidR="00DF0296" w:rsidRPr="00DF0296">
        <w:rPr>
          <w:lang w:val="fr-FR"/>
        </w:rPr>
        <w:t>’</w:t>
      </w:r>
      <w:r w:rsidRPr="00DF0296">
        <w:rPr>
          <w:lang w:val="fr-FR"/>
        </w:rPr>
        <w:t>urgence après la tentative de coup d</w:t>
      </w:r>
      <w:r w:rsidR="00DF0296" w:rsidRPr="00DF0296">
        <w:rPr>
          <w:lang w:val="fr-FR"/>
        </w:rPr>
        <w:t>’</w:t>
      </w:r>
      <w:r w:rsidRPr="00DF0296">
        <w:rPr>
          <w:rFonts w:cstheme="minorHAnsi"/>
          <w:lang w:val="fr-FR"/>
        </w:rPr>
        <w:t>É</w:t>
      </w:r>
      <w:r w:rsidRPr="00DF0296">
        <w:rPr>
          <w:lang w:val="fr-FR"/>
        </w:rPr>
        <w:t>tat du 15 juillet 2016 (CDL-AD(2016)037). Dans ce document, se référant à son rapport sur la prééminence du droit (CDL</w:t>
      </w:r>
      <w:r w:rsidRPr="00DF0296">
        <w:rPr>
          <w:lang w:val="fr-FR"/>
        </w:rPr>
        <w:noBreakHyphen/>
        <w:t>AD(2011)003rev) adopté lors de sa 86</w:t>
      </w:r>
      <w:r w:rsidRPr="00DF0296">
        <w:rPr>
          <w:vertAlign w:val="superscript"/>
          <w:lang w:val="fr-FR"/>
        </w:rPr>
        <w:t>e</w:t>
      </w:r>
      <w:r w:rsidRPr="00DF0296">
        <w:rPr>
          <w:lang w:val="fr-FR"/>
        </w:rPr>
        <w:t xml:space="preserve"> session plénière (25-26 mars 2011), elle a notamment souligné que l</w:t>
      </w:r>
      <w:r w:rsidR="00DF0296" w:rsidRPr="00DF0296">
        <w:rPr>
          <w:lang w:val="fr-FR"/>
        </w:rPr>
        <w:t>’</w:t>
      </w:r>
      <w:r w:rsidRPr="00DF0296">
        <w:rPr>
          <w:lang w:val="fr-FR"/>
        </w:rPr>
        <w:t>interdiction de l</w:t>
      </w:r>
      <w:r w:rsidR="00DF0296" w:rsidRPr="00DF0296">
        <w:rPr>
          <w:lang w:val="fr-FR"/>
        </w:rPr>
        <w:t>’</w:t>
      </w:r>
      <w:r w:rsidRPr="00DF0296">
        <w:rPr>
          <w:lang w:val="fr-FR"/>
        </w:rPr>
        <w:t>arbitraire était l</w:t>
      </w:r>
      <w:r w:rsidR="00DF0296" w:rsidRPr="00DF0296">
        <w:rPr>
          <w:lang w:val="fr-FR"/>
        </w:rPr>
        <w:t>’</w:t>
      </w:r>
      <w:r w:rsidRPr="00DF0296">
        <w:rPr>
          <w:lang w:val="fr-FR"/>
        </w:rPr>
        <w:t>un des éléments les plus importants du principe de prééminence du droit (paragraphe 133), et elle a conclu que le processus décisionnel ayant abouti à des révocations de fonctionnaires après la tentative de coup d</w:t>
      </w:r>
      <w:r w:rsidR="00DF0296" w:rsidRPr="00DF0296">
        <w:rPr>
          <w:lang w:val="fr-FR"/>
        </w:rPr>
        <w:t>’</w:t>
      </w:r>
      <w:r w:rsidRPr="00DF0296">
        <w:rPr>
          <w:lang w:val="fr-FR"/>
        </w:rPr>
        <w:t>État du 15 juillet 2016 était déficient en ce sens que les mesures en cause, de caractère permanent, n</w:t>
      </w:r>
      <w:r w:rsidR="00DF0296" w:rsidRPr="00DF0296">
        <w:rPr>
          <w:lang w:val="fr-FR"/>
        </w:rPr>
        <w:t>’</w:t>
      </w:r>
      <w:r w:rsidRPr="00DF0296">
        <w:rPr>
          <w:lang w:val="fr-FR"/>
        </w:rPr>
        <w:t>étaient pas fondées sur une motivation individualisée, ce qui rendait pratiquement impossible le contrôle judiciaire ultérieur des décisions litigieuses (paragraphe 140). Elle a également précisé que les procédures concernées devraient respecter certaines garanties minimales en matière de procédure administrative (paragraphes 141-143).</w:t>
      </w:r>
    </w:p>
    <w:p w:rsidR="008A3A64" w:rsidRPr="00DF0296" w:rsidRDefault="006C279B" w:rsidP="00DF0296">
      <w:pPr>
        <w:pStyle w:val="ECHRPara"/>
        <w:rPr>
          <w:lang w:val="fr-FR"/>
        </w:rPr>
      </w:pPr>
      <w:r w:rsidRPr="00DF0296">
        <w:rPr>
          <w:lang w:val="fr-FR"/>
        </w:rPr>
        <w:t>Compte tenu de l</w:t>
      </w:r>
      <w:r w:rsidR="00DF0296" w:rsidRPr="00DF0296">
        <w:rPr>
          <w:lang w:val="fr-FR"/>
        </w:rPr>
        <w:t>’</w:t>
      </w:r>
      <w:r w:rsidRPr="00DF0296">
        <w:rPr>
          <w:lang w:val="fr-FR"/>
        </w:rPr>
        <w:t>ampleur du problème, la Commission de Venise a invité les autorités turques à envisager la création d</w:t>
      </w:r>
      <w:r w:rsidR="00DF0296" w:rsidRPr="00DF0296">
        <w:rPr>
          <w:lang w:val="fr-FR"/>
        </w:rPr>
        <w:t>’</w:t>
      </w:r>
      <w:r w:rsidRPr="00DF0296">
        <w:rPr>
          <w:lang w:val="fr-FR"/>
        </w:rPr>
        <w:t xml:space="preserve">une instance </w:t>
      </w:r>
      <w:r w:rsidRPr="00DF0296">
        <w:rPr>
          <w:i/>
          <w:lang w:val="fr-FR"/>
        </w:rPr>
        <w:t>ad hoc</w:t>
      </w:r>
      <w:r w:rsidRPr="00DF0296">
        <w:rPr>
          <w:lang w:val="fr-FR"/>
        </w:rPr>
        <w:t xml:space="preserve"> chargée d</w:t>
      </w:r>
      <w:r w:rsidR="00DF0296" w:rsidRPr="00DF0296">
        <w:rPr>
          <w:lang w:val="fr-FR"/>
        </w:rPr>
        <w:t>’</w:t>
      </w:r>
      <w:r w:rsidRPr="00DF0296">
        <w:rPr>
          <w:lang w:val="fr-FR"/>
        </w:rPr>
        <w:t xml:space="preserve">examiner, entre autres, les recours formés contre les mesures de révocation des fonctionnaires. Elle a précisé que cette instance devrait procéder à un traitement individualisé dans tous les cas, respecter les éléments essentiels du principe de prééminence du droit, examiner des éléments de preuve concrets et rendre des décisions motivées. Cet organe devrait également être indépendant et impartial, et disposer de pouvoirs suffisants pour rétablir le </w:t>
      </w:r>
      <w:r w:rsidRPr="00DF0296">
        <w:rPr>
          <w:i/>
          <w:lang w:val="fr-FR"/>
        </w:rPr>
        <w:t>statu quo ante</w:t>
      </w:r>
      <w:r w:rsidRPr="00DF0296">
        <w:rPr>
          <w:lang w:val="fr-FR"/>
        </w:rPr>
        <w:t xml:space="preserve"> et/ou, le cas échéant, pour assurer une indemnisation adéquate. Les décisions de cet organe devraient aussi être soumises à un contrôle juridictionnel ultérieur (paragraphes 221-223).</w:t>
      </w:r>
    </w:p>
    <w:p w:rsidR="006C279B" w:rsidRPr="00DF0296" w:rsidRDefault="006C279B" w:rsidP="00DF0296">
      <w:pPr>
        <w:pStyle w:val="ECHRTitle1"/>
        <w:rPr>
          <w:lang w:val="fr-FR"/>
        </w:rPr>
      </w:pPr>
      <w:r w:rsidRPr="00DF0296">
        <w:rPr>
          <w:lang w:val="fr-FR"/>
        </w:rPr>
        <w:t>GRIEFS</w:t>
      </w:r>
    </w:p>
    <w:p w:rsidR="006C279B" w:rsidRPr="00DF0296" w:rsidRDefault="006C279B" w:rsidP="00DF0296">
      <w:pPr>
        <w:pStyle w:val="ECHRPara"/>
        <w:rPr>
          <w:lang w:val="fr-FR"/>
        </w:rPr>
      </w:pPr>
      <w:r w:rsidRPr="00DF0296">
        <w:rPr>
          <w:lang w:val="fr-FR"/>
        </w:rPr>
        <w:t>19.  Invoquant l</w:t>
      </w:r>
      <w:r w:rsidR="00DF0296" w:rsidRPr="00DF0296">
        <w:rPr>
          <w:lang w:val="fr-FR"/>
        </w:rPr>
        <w:t>’</w:t>
      </w:r>
      <w:r w:rsidRPr="00DF0296">
        <w:rPr>
          <w:lang w:val="fr-FR"/>
        </w:rPr>
        <w:t>article 6 de la Convention, le requérant se plaint de ne pas avoir accès à un tribunal pour faire valoir ses droits relativement à la mesure de révocation prise à son encontre.</w:t>
      </w:r>
    </w:p>
    <w:p w:rsidR="006C279B" w:rsidRPr="00DF0296" w:rsidRDefault="006C279B" w:rsidP="00DF0296">
      <w:pPr>
        <w:pStyle w:val="ECHRPara"/>
        <w:rPr>
          <w:lang w:val="fr-FR"/>
        </w:rPr>
      </w:pPr>
      <w:r w:rsidRPr="00DF0296">
        <w:rPr>
          <w:lang w:val="fr-FR"/>
        </w:rPr>
        <w:t>Sur le terrain de l</w:t>
      </w:r>
      <w:r w:rsidR="00DF0296" w:rsidRPr="00DF0296">
        <w:rPr>
          <w:lang w:val="fr-FR"/>
        </w:rPr>
        <w:t>’</w:t>
      </w:r>
      <w:r w:rsidRPr="00DF0296">
        <w:rPr>
          <w:lang w:val="fr-FR"/>
        </w:rPr>
        <w:t>article 6 § 2 de la Convention, il dénonce une violation du principe de présomption d</w:t>
      </w:r>
      <w:r w:rsidR="00DF0296" w:rsidRPr="00DF0296">
        <w:rPr>
          <w:lang w:val="fr-FR"/>
        </w:rPr>
        <w:t>’</w:t>
      </w:r>
      <w:r w:rsidRPr="00DF0296">
        <w:rPr>
          <w:lang w:val="fr-FR"/>
        </w:rPr>
        <w:t>innocence. Il indique avoir été révoqué pour appartenance ou affiliation à des organisations terroristes ou à des organisations, structures ou groupes pour lesquels le Conseil national de sécurité avait établi qu</w:t>
      </w:r>
      <w:r w:rsidR="00DF0296" w:rsidRPr="00DF0296">
        <w:rPr>
          <w:lang w:val="fr-FR"/>
        </w:rPr>
        <w:t>’</w:t>
      </w:r>
      <w:r w:rsidRPr="00DF0296">
        <w:rPr>
          <w:lang w:val="fr-FR"/>
        </w:rPr>
        <w:t>ils se livraient à des activités préjudiciables à la sécurité nationale de l</w:t>
      </w:r>
      <w:r w:rsidR="00DF0296" w:rsidRPr="00DF0296">
        <w:rPr>
          <w:lang w:val="fr-FR"/>
        </w:rPr>
        <w:t>’</w:t>
      </w:r>
      <w:r w:rsidRPr="00DF0296">
        <w:rPr>
          <w:lang w:val="fr-FR"/>
        </w:rPr>
        <w:t>État, et ce, à ses dires, sans avoir fait l</w:t>
      </w:r>
      <w:r w:rsidR="00DF0296" w:rsidRPr="00DF0296">
        <w:rPr>
          <w:lang w:val="fr-FR"/>
        </w:rPr>
        <w:t>’</w:t>
      </w:r>
      <w:r w:rsidRPr="00DF0296">
        <w:rPr>
          <w:lang w:val="fr-FR"/>
        </w:rPr>
        <w:t>objet d</w:t>
      </w:r>
      <w:r w:rsidR="00DF0296" w:rsidRPr="00DF0296">
        <w:rPr>
          <w:lang w:val="fr-FR"/>
        </w:rPr>
        <w:t>’</w:t>
      </w:r>
      <w:r w:rsidRPr="00DF0296">
        <w:rPr>
          <w:lang w:val="fr-FR"/>
        </w:rPr>
        <w:t>une quelconque procédure pénale.</w:t>
      </w:r>
    </w:p>
    <w:p w:rsidR="008A3A64" w:rsidRPr="00DF0296" w:rsidRDefault="006C279B" w:rsidP="00DF0296">
      <w:pPr>
        <w:pStyle w:val="ECHRPara"/>
        <w:rPr>
          <w:lang w:val="fr-FR"/>
        </w:rPr>
      </w:pPr>
      <w:r w:rsidRPr="00DF0296">
        <w:rPr>
          <w:lang w:val="fr-FR"/>
        </w:rPr>
        <w:t>Sous l</w:t>
      </w:r>
      <w:r w:rsidR="00DF0296" w:rsidRPr="00DF0296">
        <w:rPr>
          <w:lang w:val="fr-FR"/>
        </w:rPr>
        <w:t>’</w:t>
      </w:r>
      <w:r w:rsidRPr="00DF0296">
        <w:rPr>
          <w:lang w:val="fr-FR"/>
        </w:rPr>
        <w:t>angle de l</w:t>
      </w:r>
      <w:r w:rsidR="00DF0296" w:rsidRPr="00DF0296">
        <w:rPr>
          <w:lang w:val="fr-FR"/>
        </w:rPr>
        <w:t>’</w:t>
      </w:r>
      <w:r w:rsidRPr="00DF0296">
        <w:rPr>
          <w:lang w:val="fr-FR"/>
        </w:rPr>
        <w:t>article 6 § 3 a) de la Convention, il se plaint de ne pas avoir été informé de la nature et de la cause de l</w:t>
      </w:r>
      <w:r w:rsidR="00DF0296" w:rsidRPr="00DF0296">
        <w:rPr>
          <w:lang w:val="fr-FR"/>
        </w:rPr>
        <w:t>’</w:t>
      </w:r>
      <w:r w:rsidRPr="00DF0296">
        <w:rPr>
          <w:lang w:val="fr-FR"/>
        </w:rPr>
        <w:t>accusation portée contre lui.</w:t>
      </w:r>
    </w:p>
    <w:p w:rsidR="006C279B" w:rsidRPr="00DF0296" w:rsidRDefault="006C279B" w:rsidP="00DF0296">
      <w:pPr>
        <w:pStyle w:val="ECHRPara"/>
        <w:rPr>
          <w:lang w:val="fr-FR"/>
        </w:rPr>
      </w:pPr>
      <w:r w:rsidRPr="00DF0296">
        <w:rPr>
          <w:lang w:val="fr-FR"/>
        </w:rPr>
        <w:t>Sur le fondement de l</w:t>
      </w:r>
      <w:r w:rsidR="00DF0296" w:rsidRPr="00DF0296">
        <w:rPr>
          <w:lang w:val="fr-FR"/>
        </w:rPr>
        <w:t>’</w:t>
      </w:r>
      <w:r w:rsidRPr="00DF0296">
        <w:rPr>
          <w:lang w:val="fr-FR"/>
        </w:rPr>
        <w:t>article 7 de la Convention, il allègue également avoir été révoqué pour des actes non constitutifs d</w:t>
      </w:r>
      <w:r w:rsidR="00DF0296" w:rsidRPr="00DF0296">
        <w:rPr>
          <w:lang w:val="fr-FR"/>
        </w:rPr>
        <w:t>’</w:t>
      </w:r>
      <w:r w:rsidRPr="00DF0296">
        <w:rPr>
          <w:lang w:val="fr-FR"/>
        </w:rPr>
        <w:t>une infraction au moment de leur commission.</w:t>
      </w:r>
    </w:p>
    <w:p w:rsidR="006C279B" w:rsidRPr="00DF0296" w:rsidRDefault="006C279B" w:rsidP="00DF0296">
      <w:pPr>
        <w:pStyle w:val="ECHRPara"/>
        <w:rPr>
          <w:lang w:val="fr-FR"/>
        </w:rPr>
      </w:pPr>
      <w:r w:rsidRPr="00DF0296">
        <w:rPr>
          <w:lang w:val="fr-FR"/>
        </w:rPr>
        <w:t>En outre, il dénonce sa révocation pour appartenance ou affiliation aux organisations, structures ou groupes précités en ce qu</w:t>
      </w:r>
      <w:r w:rsidR="00DF0296" w:rsidRPr="00DF0296">
        <w:rPr>
          <w:lang w:val="fr-FR"/>
        </w:rPr>
        <w:t>’</w:t>
      </w:r>
      <w:r w:rsidRPr="00DF0296">
        <w:rPr>
          <w:lang w:val="fr-FR"/>
        </w:rPr>
        <w:t>elle emporterait violation à son égard du droit au respect de la vie privée protégé par l</w:t>
      </w:r>
      <w:r w:rsidR="00DF0296" w:rsidRPr="00DF0296">
        <w:rPr>
          <w:lang w:val="fr-FR"/>
        </w:rPr>
        <w:t>’</w:t>
      </w:r>
      <w:r w:rsidRPr="00DF0296">
        <w:rPr>
          <w:lang w:val="fr-FR"/>
        </w:rPr>
        <w:t>article 8 de la Convention.</w:t>
      </w:r>
    </w:p>
    <w:p w:rsidR="006C279B" w:rsidRPr="00DF0296" w:rsidRDefault="006C279B" w:rsidP="00DF0296">
      <w:pPr>
        <w:pStyle w:val="ECHRPara"/>
        <w:rPr>
          <w:lang w:val="fr-FR"/>
        </w:rPr>
      </w:pPr>
      <w:r w:rsidRPr="00DF0296">
        <w:rPr>
          <w:lang w:val="fr-FR"/>
        </w:rPr>
        <w:t>Par ailleurs, sur le terrain de l</w:t>
      </w:r>
      <w:r w:rsidR="00DF0296" w:rsidRPr="00DF0296">
        <w:rPr>
          <w:lang w:val="fr-FR"/>
        </w:rPr>
        <w:t>’</w:t>
      </w:r>
      <w:r w:rsidRPr="00DF0296">
        <w:rPr>
          <w:lang w:val="fr-FR"/>
        </w:rPr>
        <w:t>article 14 de la Convention, il se plaint d</w:t>
      </w:r>
      <w:r w:rsidR="00DF0296" w:rsidRPr="00DF0296">
        <w:rPr>
          <w:lang w:val="fr-FR"/>
        </w:rPr>
        <w:t>’</w:t>
      </w:r>
      <w:r w:rsidRPr="00DF0296">
        <w:rPr>
          <w:lang w:val="fr-FR"/>
        </w:rPr>
        <w:t>avoir subi une discrimination en raison de la mesure de révocation litigieuse prise à son encontre.</w:t>
      </w:r>
    </w:p>
    <w:p w:rsidR="006C279B" w:rsidRPr="00DF0296" w:rsidRDefault="006C279B" w:rsidP="00DF0296">
      <w:pPr>
        <w:pStyle w:val="ECHRPara"/>
        <w:rPr>
          <w:lang w:val="fr-FR"/>
        </w:rPr>
      </w:pPr>
      <w:r w:rsidRPr="00DF0296">
        <w:rPr>
          <w:lang w:val="fr-FR"/>
        </w:rPr>
        <w:t>Enfin, sur la base des mêmes faits, il dénonce une violation des articles 10, 11 et 13 de la Convention.</w:t>
      </w:r>
    </w:p>
    <w:p w:rsidR="006C279B" w:rsidRPr="00DF0296" w:rsidRDefault="006C279B" w:rsidP="00DF0296">
      <w:pPr>
        <w:pStyle w:val="ECHRTitle1"/>
        <w:rPr>
          <w:lang w:val="fr-FR"/>
        </w:rPr>
      </w:pPr>
      <w:r w:rsidRPr="00DF0296">
        <w:rPr>
          <w:lang w:val="fr-FR"/>
        </w:rPr>
        <w:t>EN DROIT</w:t>
      </w:r>
    </w:p>
    <w:p w:rsidR="006C279B" w:rsidRPr="00DF0296" w:rsidRDefault="006C279B" w:rsidP="00DF0296">
      <w:pPr>
        <w:pStyle w:val="ECHRPara"/>
        <w:rPr>
          <w:lang w:val="fr-FR"/>
        </w:rPr>
      </w:pPr>
      <w:r w:rsidRPr="00DF0296">
        <w:rPr>
          <w:lang w:val="fr-FR"/>
        </w:rPr>
        <w:t>20.  Le requérant se plaint d</w:t>
      </w:r>
      <w:r w:rsidR="00DF0296" w:rsidRPr="00DF0296">
        <w:rPr>
          <w:lang w:val="fr-FR"/>
        </w:rPr>
        <w:t>’</w:t>
      </w:r>
      <w:r w:rsidRPr="00DF0296">
        <w:rPr>
          <w:lang w:val="fr-FR"/>
        </w:rPr>
        <w:t>une violation des articles 6 §§ 1, 2 et 3 a), 7, 8, 10, 11, 13 et 14 de la Convention.</w:t>
      </w:r>
    </w:p>
    <w:p w:rsidR="006C279B" w:rsidRPr="00DF0296" w:rsidRDefault="006C279B" w:rsidP="00DF0296">
      <w:pPr>
        <w:pStyle w:val="ECHRPara"/>
        <w:rPr>
          <w:lang w:val="fr-FR"/>
        </w:rPr>
      </w:pPr>
      <w:r w:rsidRPr="00DF0296">
        <w:rPr>
          <w:lang w:val="fr-FR"/>
        </w:rPr>
        <w:t>21.  La Cour relève d</w:t>
      </w:r>
      <w:r w:rsidR="00DF0296" w:rsidRPr="00DF0296">
        <w:rPr>
          <w:lang w:val="fr-FR"/>
        </w:rPr>
        <w:t>’</w:t>
      </w:r>
      <w:r w:rsidRPr="00DF0296">
        <w:rPr>
          <w:lang w:val="fr-FR"/>
        </w:rPr>
        <w:t>emblée que le requérant a introduit sa requête devant elle alors que son recours individuel introduit devant la Cour constitutionnelle était pendant devant cette dernière. À cet égard, l</w:t>
      </w:r>
      <w:r w:rsidR="00DF0296" w:rsidRPr="00DF0296">
        <w:rPr>
          <w:lang w:val="fr-FR"/>
        </w:rPr>
        <w:t>’</w:t>
      </w:r>
      <w:r w:rsidRPr="00DF0296">
        <w:rPr>
          <w:lang w:val="fr-FR"/>
        </w:rPr>
        <w:t>intéressé soutient que ce recours ne peut être considéré comme une voie de droit effective susceptible de lui permettre de contester la mesure de révocation litigieuse. Pour étayer sa thèse, il indique que deux juges de la Cour constitutionnelle ont été arrêtés et placés en détention provisoire, et qu</w:t>
      </w:r>
      <w:r w:rsidR="00DF0296" w:rsidRPr="00DF0296">
        <w:rPr>
          <w:lang w:val="fr-FR"/>
        </w:rPr>
        <w:t>’</w:t>
      </w:r>
      <w:r w:rsidRPr="00DF0296">
        <w:rPr>
          <w:lang w:val="fr-FR"/>
        </w:rPr>
        <w:t>ils ont par la suite été révoqués par une décision de cette haute juridiction (paragraphe 10 ci</w:t>
      </w:r>
      <w:r w:rsidRPr="00DF0296">
        <w:rPr>
          <w:lang w:val="fr-FR"/>
        </w:rPr>
        <w:noBreakHyphen/>
        <w:t>dessus). Aussi le requérant estime-t-il que, dans un tel contexte, la Cour constitutionnelle n</w:t>
      </w:r>
      <w:r w:rsidR="00DF0296" w:rsidRPr="00DF0296">
        <w:rPr>
          <w:lang w:val="fr-FR"/>
        </w:rPr>
        <w:t>’</w:t>
      </w:r>
      <w:r w:rsidRPr="00DF0296">
        <w:rPr>
          <w:lang w:val="fr-FR"/>
        </w:rPr>
        <w:t>est pas en mesure de prendre une décision de manière impartiale et que le recours introduit par lui devant cette instance n</w:t>
      </w:r>
      <w:r w:rsidR="00DF0296" w:rsidRPr="00DF0296">
        <w:rPr>
          <w:lang w:val="fr-FR"/>
        </w:rPr>
        <w:t>’</w:t>
      </w:r>
      <w:r w:rsidRPr="00DF0296">
        <w:rPr>
          <w:lang w:val="fr-FR"/>
        </w:rPr>
        <w:t>a aucune chance de succès.</w:t>
      </w:r>
    </w:p>
    <w:p w:rsidR="006C279B" w:rsidRPr="00DF0296" w:rsidRDefault="006C279B" w:rsidP="00DF0296">
      <w:pPr>
        <w:pStyle w:val="ECHRPara"/>
        <w:rPr>
          <w:i/>
          <w:lang w:val="fr-FR"/>
        </w:rPr>
      </w:pPr>
      <w:r w:rsidRPr="00DF0296">
        <w:rPr>
          <w:lang w:val="fr-FR"/>
        </w:rPr>
        <w:t>22.  La Cour rappelle que la règle de l</w:t>
      </w:r>
      <w:r w:rsidR="00DF0296" w:rsidRPr="00DF0296">
        <w:rPr>
          <w:lang w:val="fr-FR"/>
        </w:rPr>
        <w:t>’</w:t>
      </w:r>
      <w:r w:rsidRPr="00DF0296">
        <w:rPr>
          <w:lang w:val="fr-FR"/>
        </w:rPr>
        <w:t>épuisement des voies de recours internes vise à ménager aux États contractants l</w:t>
      </w:r>
      <w:r w:rsidR="00DF0296" w:rsidRPr="00DF0296">
        <w:rPr>
          <w:lang w:val="fr-FR"/>
        </w:rPr>
        <w:t>’</w:t>
      </w:r>
      <w:r w:rsidRPr="00DF0296">
        <w:rPr>
          <w:lang w:val="fr-FR"/>
        </w:rPr>
        <w:t>occasion de prévenir ou de redresser les violations alléguées contre eux avant que ces allégations ne lui soient soumises (voir, parmi beaucoup d</w:t>
      </w:r>
      <w:r w:rsidR="00DF0296" w:rsidRPr="00DF0296">
        <w:rPr>
          <w:lang w:val="fr-FR"/>
        </w:rPr>
        <w:t>’</w:t>
      </w:r>
      <w:r w:rsidRPr="00DF0296">
        <w:rPr>
          <w:lang w:val="fr-FR"/>
        </w:rPr>
        <w:t xml:space="preserve">autres, </w:t>
      </w:r>
      <w:proofErr w:type="spellStart"/>
      <w:r w:rsidRPr="00DF0296">
        <w:rPr>
          <w:i/>
          <w:lang w:val="fr-FR"/>
        </w:rPr>
        <w:t>Selmouni</w:t>
      </w:r>
      <w:proofErr w:type="spellEnd"/>
      <w:r w:rsidRPr="00DF0296">
        <w:rPr>
          <w:i/>
          <w:lang w:val="fr-FR"/>
        </w:rPr>
        <w:t xml:space="preserve"> c. France </w:t>
      </w:r>
      <w:r w:rsidRPr="00DF0296">
        <w:rPr>
          <w:lang w:val="fr-FR"/>
        </w:rPr>
        <w:t>[GC], n</w:t>
      </w:r>
      <w:r w:rsidRPr="00DF0296">
        <w:rPr>
          <w:vertAlign w:val="superscript"/>
          <w:lang w:val="fr-FR"/>
        </w:rPr>
        <w:t>o </w:t>
      </w:r>
      <w:r w:rsidRPr="00DF0296">
        <w:rPr>
          <w:lang w:val="fr-FR"/>
        </w:rPr>
        <w:t>25803/94, § 74, CEDH 1999</w:t>
      </w:r>
      <w:r w:rsidRPr="00DF0296">
        <w:rPr>
          <w:lang w:val="fr-FR"/>
        </w:rPr>
        <w:noBreakHyphen/>
        <w:t>V). Cette règle se fonde sur l</w:t>
      </w:r>
      <w:r w:rsidR="00DF0296" w:rsidRPr="00DF0296">
        <w:rPr>
          <w:lang w:val="fr-FR"/>
        </w:rPr>
        <w:t>’</w:t>
      </w:r>
      <w:r w:rsidRPr="00DF0296">
        <w:rPr>
          <w:lang w:val="fr-FR"/>
        </w:rPr>
        <w:t>hypothèse, objet de l</w:t>
      </w:r>
      <w:r w:rsidR="00DF0296" w:rsidRPr="00DF0296">
        <w:rPr>
          <w:lang w:val="fr-FR"/>
        </w:rPr>
        <w:t>’</w:t>
      </w:r>
      <w:r w:rsidRPr="00DF0296">
        <w:rPr>
          <w:lang w:val="fr-FR"/>
        </w:rPr>
        <w:t>article 13 de la Convention – et avec lequel elle présente d</w:t>
      </w:r>
      <w:r w:rsidR="00DF0296" w:rsidRPr="00DF0296">
        <w:rPr>
          <w:lang w:val="fr-FR"/>
        </w:rPr>
        <w:t>’</w:t>
      </w:r>
      <w:r w:rsidRPr="00DF0296">
        <w:rPr>
          <w:lang w:val="fr-FR"/>
        </w:rPr>
        <w:t>étroites affinités –, que l</w:t>
      </w:r>
      <w:r w:rsidR="00DF0296" w:rsidRPr="00DF0296">
        <w:rPr>
          <w:lang w:val="fr-FR"/>
        </w:rPr>
        <w:t>’</w:t>
      </w:r>
      <w:r w:rsidRPr="00DF0296">
        <w:rPr>
          <w:lang w:val="fr-FR"/>
        </w:rPr>
        <w:t>ordre interne offre un recours effectif quant à la violation alléguée. De la sorte, elle constitue un aspect important du principe voulant que le mécanisme de sauvegarde instauré par la Convention revête un caractère subsidiaire par rapport aux systèmes nationaux de garantie des droits de l</w:t>
      </w:r>
      <w:r w:rsidR="00DF0296" w:rsidRPr="00DF0296">
        <w:rPr>
          <w:lang w:val="fr-FR"/>
        </w:rPr>
        <w:t>’</w:t>
      </w:r>
      <w:r w:rsidRPr="00DF0296">
        <w:rPr>
          <w:lang w:val="fr-FR"/>
        </w:rPr>
        <w:t>homme (</w:t>
      </w:r>
      <w:proofErr w:type="spellStart"/>
      <w:r w:rsidRPr="00DF0296">
        <w:rPr>
          <w:i/>
          <w:lang w:val="fr-FR"/>
        </w:rPr>
        <w:t>Vučković</w:t>
      </w:r>
      <w:proofErr w:type="spellEnd"/>
      <w:r w:rsidRPr="00DF0296">
        <w:rPr>
          <w:i/>
          <w:lang w:val="fr-FR"/>
        </w:rPr>
        <w:t xml:space="preserve"> et autres c. Serbie </w:t>
      </w:r>
      <w:r w:rsidRPr="00DF0296">
        <w:rPr>
          <w:lang w:val="fr-FR"/>
        </w:rPr>
        <w:t>[GC], n</w:t>
      </w:r>
      <w:r w:rsidRPr="00DF0296">
        <w:rPr>
          <w:vertAlign w:val="superscript"/>
          <w:lang w:val="fr-FR"/>
        </w:rPr>
        <w:t>o</w:t>
      </w:r>
      <w:r w:rsidRPr="00DF0296">
        <w:rPr>
          <w:lang w:val="fr-FR"/>
        </w:rPr>
        <w:t xml:space="preserve"> 17153/11</w:t>
      </w:r>
      <w:r w:rsidRPr="00DF0296">
        <w:rPr>
          <w:snapToGrid w:val="0"/>
          <w:color w:val="000000"/>
          <w:lang w:val="fr-FR"/>
        </w:rPr>
        <w:t xml:space="preserve">, §§ 69-70, </w:t>
      </w:r>
      <w:r w:rsidRPr="00DF0296">
        <w:rPr>
          <w:color w:val="000000"/>
          <w:lang w:val="fr-FR"/>
        </w:rPr>
        <w:t>25</w:t>
      </w:r>
      <w:r w:rsidRPr="00DF0296">
        <w:rPr>
          <w:snapToGrid w:val="0"/>
          <w:color w:val="000000"/>
          <w:lang w:val="fr-FR"/>
        </w:rPr>
        <w:t xml:space="preserve"> </w:t>
      </w:r>
      <w:r w:rsidRPr="00DF0296">
        <w:rPr>
          <w:color w:val="000000"/>
          <w:lang w:val="fr-FR"/>
        </w:rPr>
        <w:t>mars</w:t>
      </w:r>
      <w:r w:rsidRPr="00DF0296">
        <w:rPr>
          <w:snapToGrid w:val="0"/>
          <w:color w:val="000000"/>
          <w:lang w:val="fr-FR"/>
        </w:rPr>
        <w:t xml:space="preserve"> 2014 ; voir aussi </w:t>
      </w:r>
      <w:proofErr w:type="spellStart"/>
      <w:r w:rsidRPr="00DF0296">
        <w:rPr>
          <w:i/>
          <w:lang w:val="fr-FR"/>
        </w:rPr>
        <w:t>Brusco</w:t>
      </w:r>
      <w:proofErr w:type="spellEnd"/>
      <w:r w:rsidRPr="00DF0296">
        <w:rPr>
          <w:i/>
          <w:lang w:val="fr-FR"/>
        </w:rPr>
        <w:t xml:space="preserve"> c. Italie</w:t>
      </w:r>
      <w:r w:rsidRPr="00DF0296">
        <w:rPr>
          <w:lang w:val="fr-FR"/>
        </w:rPr>
        <w:t xml:space="preserve"> (déc.), n</w:t>
      </w:r>
      <w:r w:rsidRPr="00DF0296">
        <w:rPr>
          <w:vertAlign w:val="superscript"/>
          <w:lang w:val="fr-FR"/>
        </w:rPr>
        <w:t>o</w:t>
      </w:r>
      <w:r w:rsidRPr="00DF0296">
        <w:rPr>
          <w:lang w:val="fr-FR"/>
        </w:rPr>
        <w:t xml:space="preserve"> 69789/01, CEDH 2001</w:t>
      </w:r>
      <w:r w:rsidRPr="00DF0296">
        <w:rPr>
          <w:lang w:val="fr-FR"/>
        </w:rPr>
        <w:noBreakHyphen/>
        <w:t xml:space="preserve">IX, et </w:t>
      </w:r>
      <w:proofErr w:type="spellStart"/>
      <w:r w:rsidRPr="00DF0296">
        <w:rPr>
          <w:i/>
          <w:snapToGrid w:val="0"/>
          <w:lang w:val="fr-FR"/>
        </w:rPr>
        <w:t>Demopoulos</w:t>
      </w:r>
      <w:proofErr w:type="spellEnd"/>
      <w:r w:rsidRPr="00DF0296">
        <w:rPr>
          <w:i/>
          <w:snapToGrid w:val="0"/>
          <w:lang w:val="fr-FR"/>
        </w:rPr>
        <w:t xml:space="preserve"> et autres c. Turquie </w:t>
      </w:r>
      <w:r w:rsidRPr="00DF0296">
        <w:rPr>
          <w:snapToGrid w:val="0"/>
          <w:lang w:val="fr-FR"/>
        </w:rPr>
        <w:t>(déc.) [GC], n</w:t>
      </w:r>
      <w:r w:rsidRPr="00DF0296">
        <w:rPr>
          <w:snapToGrid w:val="0"/>
          <w:vertAlign w:val="superscript"/>
          <w:lang w:val="fr-FR"/>
        </w:rPr>
        <w:t>os</w:t>
      </w:r>
      <w:r w:rsidRPr="00DF0296">
        <w:rPr>
          <w:snapToGrid w:val="0"/>
          <w:lang w:val="fr-FR"/>
        </w:rPr>
        <w:t xml:space="preserve"> 46113/99, 3843/02, 13751/02, 13466/03, 10200/04, 14163/04, 19993/04 et 21819/04</w:t>
      </w:r>
      <w:r w:rsidRPr="00DF0296">
        <w:rPr>
          <w:lang w:val="fr-FR"/>
        </w:rPr>
        <w:t>, § 69, CEDH 2010).</w:t>
      </w:r>
    </w:p>
    <w:p w:rsidR="006C279B" w:rsidRPr="00DF0296" w:rsidRDefault="006C279B" w:rsidP="00DF0296">
      <w:pPr>
        <w:pStyle w:val="ECHRPara"/>
        <w:rPr>
          <w:lang w:val="fr-FR"/>
        </w:rPr>
      </w:pPr>
      <w:r w:rsidRPr="00DF0296">
        <w:rPr>
          <w:lang w:val="fr-FR"/>
        </w:rPr>
        <w:t>23.  Cela dit, la Cour rappelle que les dispositions de l</w:t>
      </w:r>
      <w:r w:rsidR="00DF0296" w:rsidRPr="00DF0296">
        <w:rPr>
          <w:lang w:val="fr-FR"/>
        </w:rPr>
        <w:t>’</w:t>
      </w:r>
      <w:r w:rsidRPr="00DF0296">
        <w:rPr>
          <w:lang w:val="fr-FR"/>
        </w:rPr>
        <w:t>article 35 de la Convention ne prescrivent l</w:t>
      </w:r>
      <w:r w:rsidR="00DF0296" w:rsidRPr="00DF0296">
        <w:rPr>
          <w:lang w:val="fr-FR"/>
        </w:rPr>
        <w:t>’</w:t>
      </w:r>
      <w:r w:rsidRPr="00DF0296">
        <w:rPr>
          <w:lang w:val="fr-FR"/>
        </w:rPr>
        <w:t>épuisement que des recours à la fois relatifs aux violations incriminées, disponibles et adéquats. Ces recours doivent exister à un degré suffisant de certitude non seulement en théorie mais aussi en pratique, sans quoi leur manquent l</w:t>
      </w:r>
      <w:r w:rsidR="00DF0296" w:rsidRPr="00DF0296">
        <w:rPr>
          <w:lang w:val="fr-FR"/>
        </w:rPr>
        <w:t>’</w:t>
      </w:r>
      <w:r w:rsidRPr="00DF0296">
        <w:rPr>
          <w:lang w:val="fr-FR"/>
        </w:rPr>
        <w:t>effectivité et l</w:t>
      </w:r>
      <w:r w:rsidR="00DF0296" w:rsidRPr="00DF0296">
        <w:rPr>
          <w:lang w:val="fr-FR"/>
        </w:rPr>
        <w:t>’</w:t>
      </w:r>
      <w:r w:rsidRPr="00DF0296">
        <w:rPr>
          <w:lang w:val="fr-FR"/>
        </w:rPr>
        <w:t xml:space="preserve">accessibilité voulues (voir, notamment, </w:t>
      </w:r>
      <w:proofErr w:type="spellStart"/>
      <w:r w:rsidRPr="00DF0296">
        <w:rPr>
          <w:i/>
          <w:lang w:val="fr-FR"/>
        </w:rPr>
        <w:t>Akdivar</w:t>
      </w:r>
      <w:proofErr w:type="spellEnd"/>
      <w:r w:rsidRPr="00DF0296">
        <w:rPr>
          <w:i/>
          <w:lang w:val="fr-FR"/>
        </w:rPr>
        <w:t xml:space="preserve"> et autres c. Turquie</w:t>
      </w:r>
      <w:r w:rsidRPr="00DF0296">
        <w:rPr>
          <w:lang w:val="fr-FR"/>
        </w:rPr>
        <w:t xml:space="preserve">, 16 septembre 1996, § 66, </w:t>
      </w:r>
      <w:r w:rsidRPr="00DF0296">
        <w:rPr>
          <w:i/>
          <w:lang w:val="fr-FR"/>
        </w:rPr>
        <w:t>Recueil des arrêts et décisions</w:t>
      </w:r>
      <w:r w:rsidRPr="00DF0296">
        <w:rPr>
          <w:lang w:val="fr-FR"/>
        </w:rPr>
        <w:t xml:space="preserve"> 1996</w:t>
      </w:r>
      <w:r w:rsidRPr="00DF0296">
        <w:rPr>
          <w:lang w:val="fr-FR"/>
        </w:rPr>
        <w:noBreakHyphen/>
        <w:t xml:space="preserve">IV, et </w:t>
      </w:r>
      <w:proofErr w:type="spellStart"/>
      <w:r w:rsidRPr="00DF0296">
        <w:rPr>
          <w:i/>
          <w:lang w:val="fr-FR"/>
        </w:rPr>
        <w:t>Dalia</w:t>
      </w:r>
      <w:proofErr w:type="spellEnd"/>
      <w:r w:rsidRPr="00DF0296">
        <w:rPr>
          <w:i/>
          <w:lang w:val="fr-FR"/>
        </w:rPr>
        <w:t xml:space="preserve"> c. France</w:t>
      </w:r>
      <w:r w:rsidRPr="00DF0296">
        <w:rPr>
          <w:lang w:val="fr-FR"/>
        </w:rPr>
        <w:t xml:space="preserve">, 19 février 1998, § 38, </w:t>
      </w:r>
      <w:r w:rsidRPr="00DF0296">
        <w:rPr>
          <w:i/>
          <w:lang w:val="fr-FR"/>
        </w:rPr>
        <w:t xml:space="preserve">Recueil </w:t>
      </w:r>
      <w:r w:rsidRPr="00DF0296">
        <w:rPr>
          <w:lang w:val="fr-FR"/>
        </w:rPr>
        <w:t>1998</w:t>
      </w:r>
      <w:r w:rsidRPr="00DF0296">
        <w:rPr>
          <w:lang w:val="fr-FR"/>
        </w:rPr>
        <w:noBreakHyphen/>
        <w:t>I). De plus, selon les « principes de droit international généralement reconnus », certaines circonstances particulières peuvent dispenser le requérant de l</w:t>
      </w:r>
      <w:r w:rsidR="00DF0296" w:rsidRPr="00DF0296">
        <w:rPr>
          <w:lang w:val="fr-FR"/>
        </w:rPr>
        <w:t>’</w:t>
      </w:r>
      <w:r w:rsidRPr="00DF0296">
        <w:rPr>
          <w:lang w:val="fr-FR"/>
        </w:rPr>
        <w:t>obligation d</w:t>
      </w:r>
      <w:r w:rsidR="00DF0296" w:rsidRPr="00DF0296">
        <w:rPr>
          <w:lang w:val="fr-FR"/>
        </w:rPr>
        <w:t>’</w:t>
      </w:r>
      <w:r w:rsidRPr="00DF0296">
        <w:rPr>
          <w:lang w:val="fr-FR"/>
        </w:rPr>
        <w:t>épuiser les recours internes qui s</w:t>
      </w:r>
      <w:r w:rsidR="00DF0296" w:rsidRPr="00DF0296">
        <w:rPr>
          <w:lang w:val="fr-FR"/>
        </w:rPr>
        <w:t>’</w:t>
      </w:r>
      <w:r w:rsidRPr="00DF0296">
        <w:rPr>
          <w:lang w:val="fr-FR"/>
        </w:rPr>
        <w:t>offrent à lui (</w:t>
      </w:r>
      <w:proofErr w:type="spellStart"/>
      <w:r w:rsidRPr="00DF0296">
        <w:rPr>
          <w:i/>
          <w:lang w:val="fr-FR"/>
        </w:rPr>
        <w:t>Selmouni</w:t>
      </w:r>
      <w:proofErr w:type="spellEnd"/>
      <w:r w:rsidRPr="00DF0296">
        <w:rPr>
          <w:lang w:val="fr-FR"/>
        </w:rPr>
        <w:t>, précité, § 75). La Cour tient toutefois à réaffirmer que le simple fait de nourrir des doutes quant aux perspectives de succès d</w:t>
      </w:r>
      <w:r w:rsidR="00DF0296" w:rsidRPr="00DF0296">
        <w:rPr>
          <w:lang w:val="fr-FR"/>
        </w:rPr>
        <w:t>’</w:t>
      </w:r>
      <w:r w:rsidRPr="00DF0296">
        <w:rPr>
          <w:lang w:val="fr-FR"/>
        </w:rPr>
        <w:t>un recours donné qui n</w:t>
      </w:r>
      <w:r w:rsidR="00DF0296" w:rsidRPr="00DF0296">
        <w:rPr>
          <w:lang w:val="fr-FR"/>
        </w:rPr>
        <w:t>’</w:t>
      </w:r>
      <w:r w:rsidRPr="00DF0296">
        <w:rPr>
          <w:lang w:val="fr-FR"/>
        </w:rPr>
        <w:t>est pas de toute évidence voué à l</w:t>
      </w:r>
      <w:r w:rsidR="00DF0296" w:rsidRPr="00DF0296">
        <w:rPr>
          <w:lang w:val="fr-FR"/>
        </w:rPr>
        <w:t>’</w:t>
      </w:r>
      <w:r w:rsidRPr="00DF0296">
        <w:rPr>
          <w:lang w:val="fr-FR"/>
        </w:rPr>
        <w:t>échec ne constitue pas une raison valable pour justifier la non-utilisation de ce recours (</w:t>
      </w:r>
      <w:proofErr w:type="spellStart"/>
      <w:r w:rsidRPr="00DF0296">
        <w:rPr>
          <w:i/>
          <w:lang w:val="fr-FR"/>
        </w:rPr>
        <w:t>Brusco</w:t>
      </w:r>
      <w:proofErr w:type="spellEnd"/>
      <w:r w:rsidRPr="00DF0296">
        <w:rPr>
          <w:lang w:val="fr-FR"/>
        </w:rPr>
        <w:t>, décision précitée).</w:t>
      </w:r>
    </w:p>
    <w:p w:rsidR="006C279B" w:rsidRPr="00DF0296" w:rsidRDefault="006C279B" w:rsidP="00DF0296">
      <w:pPr>
        <w:pStyle w:val="ECHRPara"/>
        <w:rPr>
          <w:lang w:val="fr-FR"/>
        </w:rPr>
      </w:pPr>
      <w:r w:rsidRPr="00DF0296">
        <w:rPr>
          <w:lang w:val="fr-FR"/>
        </w:rPr>
        <w:t>24.  La Cour rappelle également que l</w:t>
      </w:r>
      <w:r w:rsidR="00DF0296" w:rsidRPr="00DF0296">
        <w:rPr>
          <w:lang w:val="fr-FR"/>
        </w:rPr>
        <w:t>’</w:t>
      </w:r>
      <w:r w:rsidRPr="00DF0296">
        <w:rPr>
          <w:lang w:val="fr-FR"/>
        </w:rPr>
        <w:t>épuisement des voies de recours internes s</w:t>
      </w:r>
      <w:r w:rsidR="00DF0296" w:rsidRPr="00DF0296">
        <w:rPr>
          <w:lang w:val="fr-FR"/>
        </w:rPr>
        <w:t>’</w:t>
      </w:r>
      <w:r w:rsidRPr="00DF0296">
        <w:rPr>
          <w:lang w:val="fr-FR"/>
        </w:rPr>
        <w:t>apprécie normalement à la date d</w:t>
      </w:r>
      <w:r w:rsidR="00DF0296" w:rsidRPr="00DF0296">
        <w:rPr>
          <w:lang w:val="fr-FR"/>
        </w:rPr>
        <w:t>’</w:t>
      </w:r>
      <w:r w:rsidRPr="00DF0296">
        <w:rPr>
          <w:lang w:val="fr-FR"/>
        </w:rPr>
        <w:t>introduction de la requête devant elle. Cependant, comme elle l</w:t>
      </w:r>
      <w:r w:rsidR="00DF0296" w:rsidRPr="00DF0296">
        <w:rPr>
          <w:lang w:val="fr-FR"/>
        </w:rPr>
        <w:t>’</w:t>
      </w:r>
      <w:r w:rsidRPr="00DF0296">
        <w:rPr>
          <w:lang w:val="fr-FR"/>
        </w:rPr>
        <w:t>a indiqué maintes fois, cette règle ne va pas sans exceptions, qui peuvent être justifiées par les circonstances particulières de chaque cas d</w:t>
      </w:r>
      <w:r w:rsidR="00DF0296" w:rsidRPr="00DF0296">
        <w:rPr>
          <w:lang w:val="fr-FR"/>
        </w:rPr>
        <w:t>’</w:t>
      </w:r>
      <w:r w:rsidRPr="00DF0296">
        <w:rPr>
          <w:lang w:val="fr-FR"/>
        </w:rPr>
        <w:t>espèce (</w:t>
      </w:r>
      <w:r w:rsidRPr="00DF0296">
        <w:rPr>
          <w:i/>
          <w:lang w:val="fr-FR"/>
        </w:rPr>
        <w:t>Baumann c. France</w:t>
      </w:r>
      <w:r w:rsidRPr="00DF0296">
        <w:rPr>
          <w:lang w:val="fr-FR"/>
        </w:rPr>
        <w:t>, n</w:t>
      </w:r>
      <w:r w:rsidRPr="00DF0296">
        <w:rPr>
          <w:vertAlign w:val="superscript"/>
          <w:lang w:val="fr-FR"/>
        </w:rPr>
        <w:t>o</w:t>
      </w:r>
      <w:r w:rsidRPr="00DF0296">
        <w:rPr>
          <w:lang w:val="fr-FR"/>
        </w:rPr>
        <w:t> 33592/96, § 47, 22 mai 2001). La Cour s</w:t>
      </w:r>
      <w:r w:rsidR="00DF0296" w:rsidRPr="00DF0296">
        <w:rPr>
          <w:lang w:val="fr-FR"/>
        </w:rPr>
        <w:t>’</w:t>
      </w:r>
      <w:r w:rsidRPr="00DF0296">
        <w:rPr>
          <w:lang w:val="fr-FR"/>
        </w:rPr>
        <w:t>est ainsi en particulier écartée du principe général selon lequel la condition de l</w:t>
      </w:r>
      <w:r w:rsidR="00DF0296" w:rsidRPr="00DF0296">
        <w:rPr>
          <w:lang w:val="fr-FR"/>
        </w:rPr>
        <w:t>’</w:t>
      </w:r>
      <w:r w:rsidRPr="00DF0296">
        <w:rPr>
          <w:lang w:val="fr-FR"/>
        </w:rPr>
        <w:t>épuisement doit être appréciée au moment de l</w:t>
      </w:r>
      <w:r w:rsidR="00DF0296" w:rsidRPr="00DF0296">
        <w:rPr>
          <w:lang w:val="fr-FR"/>
        </w:rPr>
        <w:t>’</w:t>
      </w:r>
      <w:r w:rsidRPr="00DF0296">
        <w:rPr>
          <w:lang w:val="fr-FR"/>
        </w:rPr>
        <w:t>introduction de la requête dans des affaires dirigées contre certains États membres concernant des recours qui avaient pour objet la durée excessive de procédures (</w:t>
      </w:r>
      <w:proofErr w:type="spellStart"/>
      <w:r w:rsidRPr="00DF0296">
        <w:rPr>
          <w:i/>
          <w:lang w:val="fr-FR"/>
        </w:rPr>
        <w:t>Fakhretdinov</w:t>
      </w:r>
      <w:proofErr w:type="spellEnd"/>
      <w:r w:rsidRPr="00DF0296">
        <w:rPr>
          <w:i/>
          <w:lang w:val="fr-FR"/>
        </w:rPr>
        <w:t xml:space="preserve"> et autres c. Russie</w:t>
      </w:r>
      <w:r w:rsidRPr="00DF0296">
        <w:rPr>
          <w:lang w:val="fr-FR"/>
        </w:rPr>
        <w:t xml:space="preserve"> (déc.), n</w:t>
      </w:r>
      <w:r w:rsidRPr="00DF0296">
        <w:rPr>
          <w:vertAlign w:val="superscript"/>
          <w:lang w:val="fr-FR"/>
        </w:rPr>
        <w:t>os</w:t>
      </w:r>
      <w:r w:rsidRPr="00DF0296">
        <w:rPr>
          <w:lang w:val="fr-FR"/>
        </w:rPr>
        <w:t xml:space="preserve"> 26716/09, 67576/09 et 7698/10, 23 septembre 2010, </w:t>
      </w:r>
      <w:proofErr w:type="spellStart"/>
      <w:r w:rsidRPr="00DF0296">
        <w:rPr>
          <w:i/>
          <w:lang w:val="fr-FR"/>
        </w:rPr>
        <w:t>Taron</w:t>
      </w:r>
      <w:proofErr w:type="spellEnd"/>
      <w:r w:rsidRPr="00DF0296">
        <w:rPr>
          <w:i/>
          <w:lang w:val="fr-FR"/>
        </w:rPr>
        <w:t xml:space="preserve"> c. Allemagne</w:t>
      </w:r>
      <w:r w:rsidRPr="00DF0296">
        <w:rPr>
          <w:lang w:val="fr-FR"/>
        </w:rPr>
        <w:t xml:space="preserve"> (déc.), n</w:t>
      </w:r>
      <w:r w:rsidRPr="00DF0296">
        <w:rPr>
          <w:vertAlign w:val="superscript"/>
          <w:lang w:val="fr-FR"/>
        </w:rPr>
        <w:t>o</w:t>
      </w:r>
      <w:r w:rsidRPr="00DF0296">
        <w:rPr>
          <w:lang w:val="fr-FR"/>
        </w:rPr>
        <w:t xml:space="preserve"> 53126/07, 29 mai 2012, et </w:t>
      </w:r>
      <w:proofErr w:type="spellStart"/>
      <w:r w:rsidRPr="00DF0296">
        <w:rPr>
          <w:i/>
          <w:lang w:val="fr-FR"/>
        </w:rPr>
        <w:t>Turgut</w:t>
      </w:r>
      <w:proofErr w:type="spellEnd"/>
      <w:r w:rsidRPr="00DF0296">
        <w:rPr>
          <w:i/>
          <w:lang w:val="fr-FR"/>
        </w:rPr>
        <w:t xml:space="preserve"> et autres c. Turquie </w:t>
      </w:r>
      <w:r w:rsidRPr="00DF0296">
        <w:rPr>
          <w:lang w:val="fr-FR"/>
        </w:rPr>
        <w:t>(déc.), n</w:t>
      </w:r>
      <w:r w:rsidRPr="00DF0296">
        <w:rPr>
          <w:vertAlign w:val="superscript"/>
          <w:lang w:val="fr-FR"/>
        </w:rPr>
        <w:t>o</w:t>
      </w:r>
      <w:r w:rsidRPr="00DF0296">
        <w:rPr>
          <w:lang w:val="fr-FR"/>
        </w:rPr>
        <w:t> 4860/09, 26 mars 2013). Elle a fait de même dans certaines affaires dirigées contre la Turquie qui soulevaient des questions liées au droit de propriété (</w:t>
      </w:r>
      <w:r w:rsidRPr="00DF0296">
        <w:rPr>
          <w:i/>
          <w:lang w:val="tr-TR"/>
        </w:rPr>
        <w:t>İ</w:t>
      </w:r>
      <w:proofErr w:type="spellStart"/>
      <w:r w:rsidRPr="00DF0296">
        <w:rPr>
          <w:i/>
          <w:lang w:val="fr-FR"/>
        </w:rPr>
        <w:t>çyer</w:t>
      </w:r>
      <w:proofErr w:type="spellEnd"/>
      <w:r w:rsidRPr="00DF0296">
        <w:rPr>
          <w:i/>
          <w:lang w:val="fr-FR"/>
        </w:rPr>
        <w:t xml:space="preserve"> c. Turquie</w:t>
      </w:r>
      <w:r w:rsidRPr="00DF0296">
        <w:rPr>
          <w:lang w:val="fr-FR"/>
        </w:rPr>
        <w:t xml:space="preserve"> (déc.), n</w:t>
      </w:r>
      <w:r w:rsidRPr="00DF0296">
        <w:rPr>
          <w:vertAlign w:val="superscript"/>
          <w:lang w:val="fr-FR"/>
        </w:rPr>
        <w:t>o </w:t>
      </w:r>
      <w:r w:rsidRPr="00DF0296">
        <w:rPr>
          <w:lang w:val="fr-FR"/>
        </w:rPr>
        <w:t>18888/02, §§ 73</w:t>
      </w:r>
      <w:r w:rsidRPr="00DF0296">
        <w:rPr>
          <w:lang w:val="fr-FR"/>
        </w:rPr>
        <w:noBreakHyphen/>
        <w:t xml:space="preserve">87, 12 janvier 2006, </w:t>
      </w:r>
      <w:proofErr w:type="spellStart"/>
      <w:r w:rsidRPr="00DF0296">
        <w:rPr>
          <w:i/>
          <w:lang w:val="fr-FR"/>
        </w:rPr>
        <w:t>Altunay</w:t>
      </w:r>
      <w:proofErr w:type="spellEnd"/>
      <w:r w:rsidRPr="00DF0296">
        <w:rPr>
          <w:i/>
          <w:lang w:val="fr-FR"/>
        </w:rPr>
        <w:t xml:space="preserve"> c. Turquie</w:t>
      </w:r>
      <w:r w:rsidRPr="00DF0296">
        <w:rPr>
          <w:lang w:val="fr-FR"/>
        </w:rPr>
        <w:t xml:space="preserve"> (déc.), n</w:t>
      </w:r>
      <w:r w:rsidRPr="00DF0296">
        <w:rPr>
          <w:vertAlign w:val="superscript"/>
          <w:lang w:val="fr-FR"/>
        </w:rPr>
        <w:t>o </w:t>
      </w:r>
      <w:r w:rsidRPr="00DF0296">
        <w:rPr>
          <w:lang w:val="fr-FR"/>
        </w:rPr>
        <w:t xml:space="preserve">42936/07, 17 avril 2012, et </w:t>
      </w:r>
      <w:proofErr w:type="spellStart"/>
      <w:r w:rsidRPr="00DF0296">
        <w:rPr>
          <w:i/>
          <w:lang w:val="fr-FR"/>
        </w:rPr>
        <w:t>Arıoğlu</w:t>
      </w:r>
      <w:proofErr w:type="spellEnd"/>
      <w:r w:rsidRPr="00DF0296">
        <w:rPr>
          <w:i/>
          <w:lang w:val="fr-FR"/>
        </w:rPr>
        <w:t xml:space="preserve"> et autres c. Turquie</w:t>
      </w:r>
      <w:r w:rsidRPr="00DF0296">
        <w:rPr>
          <w:lang w:val="fr-FR"/>
        </w:rPr>
        <w:t xml:space="preserve"> (déc.), n</w:t>
      </w:r>
      <w:r w:rsidRPr="00DF0296">
        <w:rPr>
          <w:vertAlign w:val="superscript"/>
          <w:lang w:val="fr-FR"/>
        </w:rPr>
        <w:t xml:space="preserve">o </w:t>
      </w:r>
      <w:r w:rsidRPr="00DF0296">
        <w:rPr>
          <w:lang w:val="fr-FR"/>
        </w:rPr>
        <w:t>11166/05, 6 novembre 2012).</w:t>
      </w:r>
    </w:p>
    <w:p w:rsidR="006C279B" w:rsidRPr="00DF0296" w:rsidRDefault="006C279B" w:rsidP="00DF0296">
      <w:pPr>
        <w:pStyle w:val="ECHRPara"/>
        <w:rPr>
          <w:lang w:val="fr-FR"/>
        </w:rPr>
      </w:pPr>
      <w:r w:rsidRPr="00DF0296">
        <w:rPr>
          <w:lang w:val="fr-FR"/>
        </w:rPr>
        <w:t>25.  </w:t>
      </w:r>
      <w:r w:rsidRPr="00DF0296">
        <w:rPr>
          <w:rFonts w:ascii="Times New Roman" w:hAnsi="Times New Roman"/>
          <w:szCs w:val="24"/>
          <w:lang w:val="fr-FR"/>
        </w:rPr>
        <w:t>La Cour observe en l</w:t>
      </w:r>
      <w:r w:rsidR="00DF0296" w:rsidRPr="00DF0296">
        <w:rPr>
          <w:rFonts w:ascii="Times New Roman" w:hAnsi="Times New Roman"/>
          <w:szCs w:val="24"/>
          <w:lang w:val="fr-FR"/>
        </w:rPr>
        <w:t>’</w:t>
      </w:r>
      <w:r w:rsidRPr="00DF0296">
        <w:rPr>
          <w:rFonts w:ascii="Times New Roman" w:hAnsi="Times New Roman"/>
          <w:szCs w:val="24"/>
          <w:lang w:val="fr-FR"/>
        </w:rPr>
        <w:t>espèce que, après l</w:t>
      </w:r>
      <w:r w:rsidR="00DF0296" w:rsidRPr="00DF0296">
        <w:rPr>
          <w:rFonts w:ascii="Times New Roman" w:hAnsi="Times New Roman"/>
          <w:szCs w:val="24"/>
          <w:lang w:val="fr-FR"/>
        </w:rPr>
        <w:t>’</w:t>
      </w:r>
      <w:r w:rsidRPr="00DF0296">
        <w:rPr>
          <w:rFonts w:ascii="Times New Roman" w:hAnsi="Times New Roman"/>
          <w:szCs w:val="24"/>
          <w:lang w:val="fr-FR"/>
        </w:rPr>
        <w:t>introduction de la présente requête, le décret-loi n</w:t>
      </w:r>
      <w:r w:rsidR="008A3A64" w:rsidRPr="00DF0296">
        <w:rPr>
          <w:rFonts w:ascii="Times New Roman" w:hAnsi="Times New Roman"/>
          <w:szCs w:val="24"/>
          <w:vertAlign w:val="superscript"/>
          <w:lang w:val="fr-FR"/>
        </w:rPr>
        <w:t>o</w:t>
      </w:r>
      <w:r w:rsidRPr="00DF0296">
        <w:rPr>
          <w:rFonts w:ascii="Times New Roman" w:hAnsi="Times New Roman"/>
          <w:szCs w:val="24"/>
          <w:lang w:val="fr-FR"/>
        </w:rPr>
        <w:t xml:space="preserve"> 685, adopté le 2 janvier 2017 et publié au Journal officiel le 23 janvier 2017 (paragraphe 16 ci-dessus), a prévu la création d</w:t>
      </w:r>
      <w:r w:rsidR="00DF0296" w:rsidRPr="00DF0296">
        <w:rPr>
          <w:rFonts w:ascii="Times New Roman" w:hAnsi="Times New Roman"/>
          <w:szCs w:val="24"/>
          <w:lang w:val="fr-FR"/>
        </w:rPr>
        <w:t>’</w:t>
      </w:r>
      <w:r w:rsidRPr="00DF0296">
        <w:rPr>
          <w:rFonts w:ascii="Times New Roman" w:hAnsi="Times New Roman"/>
          <w:szCs w:val="24"/>
          <w:lang w:val="fr-FR"/>
        </w:rPr>
        <w:t xml:space="preserve">une commission chargée, entre autres, de se prononcer sur les recours relatifs à des mesures prises directement par les </w:t>
      </w:r>
      <w:proofErr w:type="spellStart"/>
      <w:r w:rsidRPr="00DF0296">
        <w:rPr>
          <w:rFonts w:ascii="Times New Roman" w:hAnsi="Times New Roman"/>
          <w:szCs w:val="24"/>
          <w:lang w:val="fr-FR"/>
        </w:rPr>
        <w:t>décrets-lois</w:t>
      </w:r>
      <w:proofErr w:type="spellEnd"/>
      <w:r w:rsidRPr="00DF0296">
        <w:rPr>
          <w:rFonts w:ascii="Times New Roman" w:hAnsi="Times New Roman"/>
          <w:szCs w:val="24"/>
          <w:lang w:val="fr-FR"/>
        </w:rPr>
        <w:t xml:space="preserve"> édictés dans le cadre de l</w:t>
      </w:r>
      <w:r w:rsidR="00DF0296" w:rsidRPr="00DF0296">
        <w:rPr>
          <w:rFonts w:ascii="Times New Roman" w:hAnsi="Times New Roman"/>
          <w:szCs w:val="24"/>
          <w:lang w:val="fr-FR"/>
        </w:rPr>
        <w:t>’</w:t>
      </w:r>
      <w:r w:rsidRPr="00DF0296">
        <w:rPr>
          <w:rFonts w:ascii="Times New Roman" w:hAnsi="Times New Roman"/>
          <w:szCs w:val="24"/>
          <w:lang w:val="fr-FR"/>
        </w:rPr>
        <w:t>état d</w:t>
      </w:r>
      <w:r w:rsidR="00DF0296" w:rsidRPr="00DF0296">
        <w:rPr>
          <w:rFonts w:ascii="Times New Roman" w:hAnsi="Times New Roman"/>
          <w:szCs w:val="24"/>
          <w:lang w:val="fr-FR"/>
        </w:rPr>
        <w:t>’</w:t>
      </w:r>
      <w:r w:rsidRPr="00DF0296">
        <w:rPr>
          <w:rFonts w:ascii="Times New Roman" w:hAnsi="Times New Roman"/>
          <w:szCs w:val="24"/>
          <w:lang w:val="fr-FR"/>
        </w:rPr>
        <w:t>urgence, dont les mesures de révocation. Il ressort de ce texte que les fonctionnaires frappés de telles mesures auront la possibilité de saisir ladite commission dans un délai de soixante jours à compter de la date de réception des recours qui sera fixée par le Premier ministre dans un délai maximum de six mois suivant l</w:t>
      </w:r>
      <w:r w:rsidR="00DF0296" w:rsidRPr="00DF0296">
        <w:rPr>
          <w:rFonts w:ascii="Times New Roman" w:hAnsi="Times New Roman"/>
          <w:szCs w:val="24"/>
          <w:lang w:val="fr-FR"/>
        </w:rPr>
        <w:t>’</w:t>
      </w:r>
      <w:r w:rsidRPr="00DF0296">
        <w:rPr>
          <w:rFonts w:ascii="Times New Roman" w:hAnsi="Times New Roman"/>
          <w:szCs w:val="24"/>
          <w:lang w:val="fr-FR"/>
        </w:rPr>
        <w:t>entrée en vigueur du décret-loi, soit au 23 juillet 2017 au plus tard (article 7 § 3 du décret-loi et article 1 de ses dispositions transitoires). Plus important encore, en vertu de l</w:t>
      </w:r>
      <w:r w:rsidR="00DF0296" w:rsidRPr="00DF0296">
        <w:rPr>
          <w:rFonts w:ascii="Times New Roman" w:hAnsi="Times New Roman"/>
          <w:szCs w:val="24"/>
          <w:lang w:val="fr-FR"/>
        </w:rPr>
        <w:t>’</w:t>
      </w:r>
      <w:r w:rsidRPr="00DF0296">
        <w:rPr>
          <w:rFonts w:ascii="Times New Roman" w:hAnsi="Times New Roman"/>
          <w:szCs w:val="24"/>
          <w:lang w:val="fr-FR"/>
        </w:rPr>
        <w:t>article 11 § 1 du même décret-loi, les décisions de la commission pourront faire l</w:t>
      </w:r>
      <w:r w:rsidR="00DF0296" w:rsidRPr="00DF0296">
        <w:rPr>
          <w:rFonts w:ascii="Times New Roman" w:hAnsi="Times New Roman"/>
          <w:szCs w:val="24"/>
          <w:lang w:val="fr-FR"/>
        </w:rPr>
        <w:t>’</w:t>
      </w:r>
      <w:r w:rsidRPr="00DF0296">
        <w:rPr>
          <w:rFonts w:ascii="Times New Roman" w:hAnsi="Times New Roman"/>
          <w:szCs w:val="24"/>
          <w:lang w:val="fr-FR"/>
        </w:rPr>
        <w:t>objet d</w:t>
      </w:r>
      <w:r w:rsidR="00DF0296" w:rsidRPr="00DF0296">
        <w:rPr>
          <w:rFonts w:ascii="Times New Roman" w:hAnsi="Times New Roman"/>
          <w:szCs w:val="24"/>
          <w:lang w:val="fr-FR"/>
        </w:rPr>
        <w:t>’</w:t>
      </w:r>
      <w:r w:rsidRPr="00DF0296">
        <w:rPr>
          <w:rFonts w:ascii="Times New Roman" w:hAnsi="Times New Roman"/>
          <w:szCs w:val="24"/>
          <w:lang w:val="fr-FR"/>
        </w:rPr>
        <w:t xml:space="preserve">un recours en annulation devant les juridictions administratives. </w:t>
      </w:r>
      <w:r w:rsidRPr="00DF0296">
        <w:rPr>
          <w:lang w:val="fr-FR"/>
        </w:rPr>
        <w:t xml:space="preserve">Force est donc de constater que le pouvoir exécutif a mis fin à la controverse relative à la compétence des juridictions nationales sur le contrôle juridictionnel des mesures prises par des </w:t>
      </w:r>
      <w:proofErr w:type="spellStart"/>
      <w:r w:rsidRPr="00DF0296">
        <w:rPr>
          <w:lang w:val="fr-FR"/>
        </w:rPr>
        <w:t>décrets-lois</w:t>
      </w:r>
      <w:proofErr w:type="spellEnd"/>
      <w:r w:rsidRPr="00DF0296">
        <w:rPr>
          <w:lang w:val="fr-FR"/>
        </w:rPr>
        <w:t xml:space="preserve"> édictés en période d</w:t>
      </w:r>
      <w:r w:rsidR="00DF0296" w:rsidRPr="00DF0296">
        <w:rPr>
          <w:lang w:val="fr-FR"/>
        </w:rPr>
        <w:t>’</w:t>
      </w:r>
      <w:r w:rsidRPr="00DF0296">
        <w:rPr>
          <w:lang w:val="fr-FR"/>
        </w:rPr>
        <w:t>état d</w:t>
      </w:r>
      <w:r w:rsidR="00DF0296" w:rsidRPr="00DF0296">
        <w:rPr>
          <w:lang w:val="fr-FR"/>
        </w:rPr>
        <w:t>’</w:t>
      </w:r>
      <w:r w:rsidRPr="00DF0296">
        <w:rPr>
          <w:lang w:val="fr-FR"/>
        </w:rPr>
        <w:t>urgence et qu</w:t>
      </w:r>
      <w:r w:rsidR="00DF0296" w:rsidRPr="00DF0296">
        <w:rPr>
          <w:lang w:val="fr-FR"/>
        </w:rPr>
        <w:t>’</w:t>
      </w:r>
      <w:r w:rsidRPr="00DF0296">
        <w:rPr>
          <w:lang w:val="fr-FR"/>
        </w:rPr>
        <w:t>il a désigné les juridictions administratives pour connaître des recours en contentieux administratif dirigés contre les décisions de ladite commission.</w:t>
      </w:r>
    </w:p>
    <w:p w:rsidR="006C279B" w:rsidRPr="00DF0296" w:rsidRDefault="006C279B" w:rsidP="00DF0296">
      <w:pPr>
        <w:pStyle w:val="ECHRPara"/>
        <w:rPr>
          <w:lang w:val="fr-FR"/>
        </w:rPr>
      </w:pPr>
      <w:r w:rsidRPr="00DF0296">
        <w:rPr>
          <w:lang w:val="fr-FR"/>
        </w:rPr>
        <w:t>26.  La Cour relève également que les décisions rendues par les juridictions administratives peuvent à leur tour être contestées devant la Cour constitutionnelle par la voie du recours individuel et que, à la suite de la saisine de cette haute juridiction et des décisions prononcées par celle-ci, toute personne peut, si besoin est, la saisir d</w:t>
      </w:r>
      <w:r w:rsidR="00DF0296" w:rsidRPr="00DF0296">
        <w:rPr>
          <w:lang w:val="fr-FR"/>
        </w:rPr>
        <w:t>’</w:t>
      </w:r>
      <w:r w:rsidRPr="00DF0296">
        <w:rPr>
          <w:lang w:val="fr-FR"/>
        </w:rPr>
        <w:t>un grief tiré de la Convention.</w:t>
      </w:r>
    </w:p>
    <w:p w:rsidR="008A3A64" w:rsidRPr="00DF0296" w:rsidRDefault="006C279B" w:rsidP="00DF0296">
      <w:pPr>
        <w:pStyle w:val="ECHRPara"/>
        <w:rPr>
          <w:lang w:val="fr-FR"/>
        </w:rPr>
      </w:pPr>
      <w:r w:rsidRPr="00DF0296">
        <w:rPr>
          <w:lang w:val="fr-FR"/>
        </w:rPr>
        <w:t>27.  Rappelant ici son rôle subsidiaire par rapport aux systèmes nationaux de garantie des droits de l</w:t>
      </w:r>
      <w:r w:rsidR="00DF0296" w:rsidRPr="00DF0296">
        <w:rPr>
          <w:lang w:val="fr-FR"/>
        </w:rPr>
        <w:t>’</w:t>
      </w:r>
      <w:r w:rsidRPr="00DF0296">
        <w:rPr>
          <w:lang w:val="fr-FR"/>
        </w:rPr>
        <w:t>homme (</w:t>
      </w:r>
      <w:proofErr w:type="spellStart"/>
      <w:r w:rsidRPr="00DF0296">
        <w:rPr>
          <w:i/>
          <w:lang w:val="fr-FR"/>
        </w:rPr>
        <w:t>Handyside</w:t>
      </w:r>
      <w:proofErr w:type="spellEnd"/>
      <w:r w:rsidRPr="00DF0296">
        <w:rPr>
          <w:i/>
          <w:lang w:val="fr-FR"/>
        </w:rPr>
        <w:t xml:space="preserve"> c. Royaume</w:t>
      </w:r>
      <w:r w:rsidRPr="00DF0296">
        <w:rPr>
          <w:rFonts w:ascii="MS Mincho" w:eastAsia="MS Mincho" w:hAnsi="MS Mincho" w:cs="MS Mincho"/>
          <w:i/>
          <w:lang w:val="fr-FR"/>
        </w:rPr>
        <w:t>-</w:t>
      </w:r>
      <w:r w:rsidRPr="00DF0296">
        <w:rPr>
          <w:i/>
          <w:lang w:val="fr-FR"/>
        </w:rPr>
        <w:t>Uni</w:t>
      </w:r>
      <w:r w:rsidRPr="00DF0296">
        <w:rPr>
          <w:lang w:val="fr-FR"/>
        </w:rPr>
        <w:t>, 7 d</w:t>
      </w:r>
      <w:r w:rsidRPr="00DF0296">
        <w:rPr>
          <w:rFonts w:ascii="Times New Roman" w:hAnsi="Times New Roman" w:cs="Times New Roman"/>
          <w:lang w:val="fr-FR"/>
        </w:rPr>
        <w:t>é</w:t>
      </w:r>
      <w:r w:rsidRPr="00DF0296">
        <w:rPr>
          <w:lang w:val="fr-FR"/>
        </w:rPr>
        <w:t xml:space="preserve">cembre 1976, </w:t>
      </w:r>
      <w:r w:rsidRPr="00DF0296">
        <w:rPr>
          <w:rFonts w:ascii="Times New Roman" w:hAnsi="Times New Roman" w:cs="Times New Roman"/>
          <w:lang w:val="fr-FR"/>
        </w:rPr>
        <w:t>§</w:t>
      </w:r>
      <w:r w:rsidRPr="00DF0296">
        <w:rPr>
          <w:lang w:val="fr-FR"/>
        </w:rPr>
        <w:t xml:space="preserve"> 48, s</w:t>
      </w:r>
      <w:r w:rsidRPr="00DF0296">
        <w:rPr>
          <w:rFonts w:ascii="Times New Roman" w:hAnsi="Times New Roman" w:cs="Times New Roman"/>
          <w:lang w:val="fr-FR"/>
        </w:rPr>
        <w:t>é</w:t>
      </w:r>
      <w:r w:rsidRPr="00DF0296">
        <w:rPr>
          <w:lang w:val="fr-FR"/>
        </w:rPr>
        <w:t>rie A n</w:t>
      </w:r>
      <w:r w:rsidRPr="00DF0296">
        <w:rPr>
          <w:vertAlign w:val="superscript"/>
          <w:lang w:val="fr-FR"/>
        </w:rPr>
        <w:t>o</w:t>
      </w:r>
      <w:r w:rsidRPr="00DF0296">
        <w:rPr>
          <w:lang w:val="fr-FR"/>
        </w:rPr>
        <w:t xml:space="preserve"> 24), la Cour estime que le requ</w:t>
      </w:r>
      <w:r w:rsidRPr="00DF0296">
        <w:rPr>
          <w:rFonts w:ascii="Times New Roman" w:hAnsi="Times New Roman" w:cs="Times New Roman"/>
          <w:lang w:val="fr-FR"/>
        </w:rPr>
        <w:t>é</w:t>
      </w:r>
      <w:r w:rsidRPr="00DF0296">
        <w:rPr>
          <w:lang w:val="fr-FR"/>
        </w:rPr>
        <w:t xml:space="preserve">rant aura donc </w:t>
      </w:r>
      <w:r w:rsidRPr="00DF0296">
        <w:rPr>
          <w:rFonts w:ascii="Times New Roman" w:hAnsi="Times New Roman" w:cs="Times New Roman"/>
          <w:lang w:val="fr-FR"/>
        </w:rPr>
        <w:t>à</w:t>
      </w:r>
      <w:r w:rsidRPr="00DF0296">
        <w:rPr>
          <w:lang w:val="fr-FR"/>
        </w:rPr>
        <w:t xml:space="preserve"> sa disposition une nouvelle voie de recours qui lui permettra de donner aux instances internes l</w:t>
      </w:r>
      <w:r w:rsidR="00DF0296" w:rsidRPr="00DF0296">
        <w:rPr>
          <w:lang w:val="fr-FR"/>
        </w:rPr>
        <w:t>’</w:t>
      </w:r>
      <w:r w:rsidRPr="00DF0296">
        <w:rPr>
          <w:lang w:val="fr-FR"/>
        </w:rPr>
        <w:t xml:space="preserve">occasion de remédier au niveau national à la prétendue violation des dispositions de la Convention (voir, </w:t>
      </w:r>
      <w:r w:rsidRPr="00DF0296">
        <w:rPr>
          <w:i/>
          <w:lang w:val="fr-FR"/>
        </w:rPr>
        <w:t xml:space="preserve">mutatis mutandis, </w:t>
      </w:r>
      <w:proofErr w:type="spellStart"/>
      <w:r w:rsidRPr="00DF0296">
        <w:rPr>
          <w:i/>
          <w:lang w:val="fr-FR"/>
        </w:rPr>
        <w:t>Ovidiu</w:t>
      </w:r>
      <w:proofErr w:type="spellEnd"/>
      <w:r w:rsidRPr="00DF0296">
        <w:rPr>
          <w:i/>
          <w:lang w:val="fr-FR"/>
        </w:rPr>
        <w:t xml:space="preserve"> </w:t>
      </w:r>
      <w:proofErr w:type="spellStart"/>
      <w:r w:rsidRPr="00DF0296">
        <w:rPr>
          <w:i/>
          <w:lang w:val="fr-FR"/>
        </w:rPr>
        <w:t>Trailescu</w:t>
      </w:r>
      <w:proofErr w:type="spellEnd"/>
      <w:r w:rsidRPr="00DF0296">
        <w:rPr>
          <w:i/>
          <w:lang w:val="fr-FR"/>
        </w:rPr>
        <w:t xml:space="preserve"> c. Roumanie</w:t>
      </w:r>
      <w:r w:rsidRPr="00DF0296">
        <w:rPr>
          <w:lang w:val="fr-FR"/>
        </w:rPr>
        <w:t xml:space="preserve"> (déc.), n</w:t>
      </w:r>
      <w:r w:rsidRPr="00DF0296">
        <w:rPr>
          <w:vertAlign w:val="superscript"/>
          <w:lang w:val="fr-FR"/>
        </w:rPr>
        <w:t>os</w:t>
      </w:r>
      <w:r w:rsidRPr="00DF0296">
        <w:rPr>
          <w:lang w:val="fr-FR"/>
        </w:rPr>
        <w:t xml:space="preserve"> 5666/04 et 14464/05, § 72). Elle observe notamment qu</w:t>
      </w:r>
      <w:r w:rsidR="00DF0296" w:rsidRPr="00DF0296">
        <w:rPr>
          <w:lang w:val="fr-FR"/>
        </w:rPr>
        <w:t>’</w:t>
      </w:r>
      <w:r w:rsidRPr="00DF0296">
        <w:rPr>
          <w:lang w:val="fr-FR"/>
        </w:rPr>
        <w:t>une importance particulière doit être attachée au fait que le décret-loi n</w:t>
      </w:r>
      <w:r w:rsidR="008A3A64" w:rsidRPr="00DF0296">
        <w:rPr>
          <w:vertAlign w:val="superscript"/>
          <w:lang w:val="fr-FR"/>
        </w:rPr>
        <w:t>o</w:t>
      </w:r>
      <w:r w:rsidRPr="00DF0296">
        <w:rPr>
          <w:lang w:val="fr-FR"/>
        </w:rPr>
        <w:t xml:space="preserve"> 685 a clairement ouvert la voie à un contrôle, par la commission susmentionnée, des mesures prises dans le cadre de l</w:t>
      </w:r>
      <w:r w:rsidR="00DF0296" w:rsidRPr="00DF0296">
        <w:rPr>
          <w:lang w:val="fr-FR"/>
        </w:rPr>
        <w:t>’</w:t>
      </w:r>
      <w:r w:rsidRPr="00DF0296">
        <w:rPr>
          <w:lang w:val="fr-FR"/>
        </w:rPr>
        <w:t>état d</w:t>
      </w:r>
      <w:r w:rsidR="00DF0296" w:rsidRPr="00DF0296">
        <w:rPr>
          <w:lang w:val="fr-FR"/>
        </w:rPr>
        <w:t>’</w:t>
      </w:r>
      <w:r w:rsidRPr="00DF0296">
        <w:rPr>
          <w:lang w:val="fr-FR"/>
        </w:rPr>
        <w:t>urgence et qu</w:t>
      </w:r>
      <w:r w:rsidR="00DF0296" w:rsidRPr="00DF0296">
        <w:rPr>
          <w:lang w:val="fr-FR"/>
        </w:rPr>
        <w:t>’</w:t>
      </w:r>
      <w:r w:rsidRPr="00DF0296">
        <w:rPr>
          <w:lang w:val="fr-FR"/>
        </w:rPr>
        <w:t>il a prévu la soumission des décisions prises par cette commission à un contrôle juridictionnel ultérieur. En effet, ce décret-loi a été adopté dans l</w:t>
      </w:r>
      <w:r w:rsidR="00DF0296" w:rsidRPr="00DF0296">
        <w:rPr>
          <w:lang w:val="fr-FR"/>
        </w:rPr>
        <w:t>’</w:t>
      </w:r>
      <w:r w:rsidRPr="00DF0296">
        <w:rPr>
          <w:lang w:val="fr-FR"/>
        </w:rPr>
        <w:t>objectif de porter remède à une situation problématique de grande envergure résultant non seulement des défaillances du processus décisionnel de prise des mesures dénoncées, telles qu</w:t>
      </w:r>
      <w:r w:rsidR="00DF0296" w:rsidRPr="00DF0296">
        <w:rPr>
          <w:lang w:val="fr-FR"/>
        </w:rPr>
        <w:t>’</w:t>
      </w:r>
      <w:r w:rsidRPr="00DF0296">
        <w:rPr>
          <w:lang w:val="fr-FR"/>
        </w:rPr>
        <w:t>indiquées par la Commission de Venise dans son avis n</w:t>
      </w:r>
      <w:r w:rsidR="008A3A64" w:rsidRPr="00DF0296">
        <w:rPr>
          <w:vertAlign w:val="superscript"/>
          <w:lang w:val="fr-FR"/>
        </w:rPr>
        <w:t>o</w:t>
      </w:r>
      <w:r w:rsidRPr="00DF0296">
        <w:rPr>
          <w:lang w:val="fr-FR"/>
        </w:rPr>
        <w:t> 865/2016 (paragraphe 18 ci-dessus), mais aussi de l</w:t>
      </w:r>
      <w:r w:rsidR="00DF0296" w:rsidRPr="00DF0296">
        <w:rPr>
          <w:lang w:val="fr-FR"/>
        </w:rPr>
        <w:t>’</w:t>
      </w:r>
      <w:r w:rsidRPr="00DF0296">
        <w:rPr>
          <w:lang w:val="fr-FR"/>
        </w:rPr>
        <w:t>incertitude sur le contrôle juridictionnel de ces mesures.</w:t>
      </w:r>
    </w:p>
    <w:p w:rsidR="008A3A64" w:rsidRPr="00DF0296" w:rsidRDefault="006C279B" w:rsidP="00DF0296">
      <w:pPr>
        <w:pStyle w:val="ECHRPara"/>
        <w:rPr>
          <w:lang w:val="fr-FR"/>
        </w:rPr>
      </w:pPr>
      <w:r w:rsidRPr="00DF0296">
        <w:rPr>
          <w:lang w:val="fr-FR"/>
        </w:rPr>
        <w:t>28.  Eu égard à ce qui précède, et compte tenu de la nature du décret-loi n</w:t>
      </w:r>
      <w:r w:rsidR="008A3A64" w:rsidRPr="00DF0296">
        <w:rPr>
          <w:vertAlign w:val="superscript"/>
          <w:lang w:val="fr-FR"/>
        </w:rPr>
        <w:t>o</w:t>
      </w:r>
      <w:r w:rsidRPr="00DF0296">
        <w:rPr>
          <w:lang w:val="fr-FR"/>
        </w:rPr>
        <w:t> 685 et du contexte dans lequel celui-ci a été pris, la Cour considère qu</w:t>
      </w:r>
      <w:r w:rsidR="00DF0296" w:rsidRPr="00DF0296">
        <w:rPr>
          <w:lang w:val="fr-FR"/>
        </w:rPr>
        <w:t>’</w:t>
      </w:r>
      <w:r w:rsidRPr="00DF0296">
        <w:rPr>
          <w:lang w:val="fr-FR"/>
        </w:rPr>
        <w:t>il est justifié de faire une exception au principe général selon lequel la condition de l</w:t>
      </w:r>
      <w:r w:rsidR="00DF0296" w:rsidRPr="00DF0296">
        <w:rPr>
          <w:lang w:val="fr-FR"/>
        </w:rPr>
        <w:t>’</w:t>
      </w:r>
      <w:r w:rsidRPr="00DF0296">
        <w:rPr>
          <w:lang w:val="fr-FR"/>
        </w:rPr>
        <w:t>épuisement des voies de recours internes doit être appréciée au moment de l</w:t>
      </w:r>
      <w:r w:rsidR="00DF0296" w:rsidRPr="00DF0296">
        <w:rPr>
          <w:lang w:val="fr-FR"/>
        </w:rPr>
        <w:t>’</w:t>
      </w:r>
      <w:r w:rsidRPr="00DF0296">
        <w:rPr>
          <w:lang w:val="fr-FR"/>
        </w:rPr>
        <w:t>introduction de la requête (</w:t>
      </w:r>
      <w:proofErr w:type="spellStart"/>
      <w:r w:rsidRPr="00DF0296">
        <w:rPr>
          <w:i/>
          <w:lang w:val="fr-FR"/>
        </w:rPr>
        <w:t>Scordino</w:t>
      </w:r>
      <w:proofErr w:type="spellEnd"/>
      <w:r w:rsidRPr="00DF0296">
        <w:rPr>
          <w:i/>
          <w:lang w:val="fr-FR"/>
        </w:rPr>
        <w:t xml:space="preserve"> c. Italie </w:t>
      </w:r>
      <w:r w:rsidRPr="00DF0296">
        <w:rPr>
          <w:lang w:val="fr-FR"/>
        </w:rPr>
        <w:t>(n</w:t>
      </w:r>
      <w:r w:rsidRPr="00DF0296">
        <w:rPr>
          <w:vertAlign w:val="superscript"/>
          <w:lang w:val="fr-FR"/>
        </w:rPr>
        <w:t>o</w:t>
      </w:r>
      <w:r w:rsidRPr="00DF0296">
        <w:rPr>
          <w:lang w:val="fr-FR"/>
        </w:rPr>
        <w:t> 1) [GC], n</w:t>
      </w:r>
      <w:r w:rsidRPr="00DF0296">
        <w:rPr>
          <w:vertAlign w:val="superscript"/>
          <w:lang w:val="fr-FR"/>
        </w:rPr>
        <w:t>o</w:t>
      </w:r>
      <w:r w:rsidRPr="00DF0296">
        <w:rPr>
          <w:lang w:val="fr-FR"/>
        </w:rPr>
        <w:t> 36813/97, § 144, CEDH 2006</w:t>
      </w:r>
      <w:r w:rsidRPr="00DF0296">
        <w:rPr>
          <w:rFonts w:ascii="MS Mincho" w:eastAsia="MS Mincho" w:hAnsi="MS Mincho" w:cs="MS Mincho" w:hint="eastAsia"/>
          <w:lang w:val="fr-FR"/>
        </w:rPr>
        <w:t>‑</w:t>
      </w:r>
      <w:r w:rsidRPr="00DF0296">
        <w:rPr>
          <w:lang w:val="fr-FR"/>
        </w:rPr>
        <w:t>V). À cet égard, elle rappelle que, dans un ordre juridique où les droits fondamentaux sont protégés par la loi, il incombe à l</w:t>
      </w:r>
      <w:r w:rsidR="00DF0296" w:rsidRPr="00DF0296">
        <w:rPr>
          <w:lang w:val="fr-FR"/>
        </w:rPr>
        <w:t>’</w:t>
      </w:r>
      <w:r w:rsidRPr="00DF0296">
        <w:rPr>
          <w:lang w:val="fr-FR"/>
        </w:rPr>
        <w:t>individu lésé d</w:t>
      </w:r>
      <w:r w:rsidR="00DF0296" w:rsidRPr="00DF0296">
        <w:rPr>
          <w:lang w:val="fr-FR"/>
        </w:rPr>
        <w:t>’</w:t>
      </w:r>
      <w:r w:rsidRPr="00DF0296">
        <w:rPr>
          <w:lang w:val="fr-FR"/>
        </w:rPr>
        <w:t>éprouver l</w:t>
      </w:r>
      <w:r w:rsidR="00DF0296" w:rsidRPr="00DF0296">
        <w:rPr>
          <w:lang w:val="fr-FR"/>
        </w:rPr>
        <w:t>’</w:t>
      </w:r>
      <w:r w:rsidRPr="00DF0296">
        <w:rPr>
          <w:lang w:val="fr-FR"/>
        </w:rPr>
        <w:t>ampleur de cette protection, l</w:t>
      </w:r>
      <w:r w:rsidR="00DF0296" w:rsidRPr="00DF0296">
        <w:rPr>
          <w:lang w:val="fr-FR"/>
        </w:rPr>
        <w:t>’</w:t>
      </w:r>
      <w:r w:rsidRPr="00DF0296">
        <w:rPr>
          <w:lang w:val="fr-FR"/>
        </w:rPr>
        <w:t xml:space="preserve">intéressé devant donner aux juridictions nationales la possibilité de faire évoluer ces droits (voir, </w:t>
      </w:r>
      <w:r w:rsidRPr="00DF0296">
        <w:rPr>
          <w:i/>
          <w:lang w:val="fr-FR"/>
        </w:rPr>
        <w:t>mutatis mutandis</w:t>
      </w:r>
      <w:r w:rsidRPr="00DF0296">
        <w:rPr>
          <w:lang w:val="fr-FR"/>
        </w:rPr>
        <w:t xml:space="preserve">, </w:t>
      </w:r>
      <w:proofErr w:type="spellStart"/>
      <w:r w:rsidRPr="00DF0296">
        <w:rPr>
          <w:i/>
          <w:lang w:val="fr-FR"/>
        </w:rPr>
        <w:t>Vučković</w:t>
      </w:r>
      <w:proofErr w:type="spellEnd"/>
      <w:r w:rsidRPr="00DF0296">
        <w:rPr>
          <w:i/>
          <w:lang w:val="fr-FR"/>
        </w:rPr>
        <w:t xml:space="preserve"> et autres</w:t>
      </w:r>
      <w:r w:rsidRPr="00DF0296">
        <w:rPr>
          <w:lang w:val="fr-FR"/>
        </w:rPr>
        <w:t>, précité, § 84). Par conséquent, il incombe à l</w:t>
      </w:r>
      <w:r w:rsidR="00DF0296" w:rsidRPr="00DF0296">
        <w:rPr>
          <w:lang w:val="fr-FR"/>
        </w:rPr>
        <w:t>’</w:t>
      </w:r>
      <w:r w:rsidRPr="00DF0296">
        <w:rPr>
          <w:lang w:val="fr-FR"/>
        </w:rPr>
        <w:t xml:space="preserve">individu qui se considère comme victime </w:t>
      </w:r>
      <w:r w:rsidRPr="00DF0296">
        <w:rPr>
          <w:rFonts w:cs="Times New Roman"/>
          <w:szCs w:val="24"/>
          <w:lang w:val="fr-FR"/>
        </w:rPr>
        <w:t>d</w:t>
      </w:r>
      <w:r w:rsidR="00DF0296" w:rsidRPr="00DF0296">
        <w:rPr>
          <w:rFonts w:cs="Times New Roman"/>
          <w:szCs w:val="24"/>
          <w:lang w:val="fr-FR"/>
        </w:rPr>
        <w:t>’</w:t>
      </w:r>
      <w:r w:rsidRPr="00DF0296">
        <w:rPr>
          <w:rFonts w:cs="Times New Roman"/>
          <w:szCs w:val="24"/>
          <w:lang w:val="fr-FR"/>
        </w:rPr>
        <w:t>une</w:t>
      </w:r>
      <w:r w:rsidRPr="00DF0296">
        <w:rPr>
          <w:rFonts w:cs="Times New Roman"/>
          <w:szCs w:val="24"/>
          <w:lang w:val="tr-TR"/>
        </w:rPr>
        <w:t xml:space="preserve"> </w:t>
      </w:r>
      <w:proofErr w:type="spellStart"/>
      <w:r w:rsidRPr="00DF0296">
        <w:rPr>
          <w:rFonts w:cs="Times New Roman"/>
          <w:szCs w:val="24"/>
          <w:lang w:val="tr-TR"/>
        </w:rPr>
        <w:t>prétendue</w:t>
      </w:r>
      <w:proofErr w:type="spellEnd"/>
      <w:r w:rsidRPr="00DF0296">
        <w:rPr>
          <w:rFonts w:cs="Times New Roman"/>
          <w:szCs w:val="24"/>
          <w:lang w:val="tr-TR"/>
        </w:rPr>
        <w:t xml:space="preserve"> </w:t>
      </w:r>
      <w:proofErr w:type="spellStart"/>
      <w:r w:rsidRPr="00DF0296">
        <w:rPr>
          <w:rFonts w:cs="Times New Roman"/>
          <w:szCs w:val="24"/>
          <w:lang w:val="tr-TR"/>
        </w:rPr>
        <w:t>violation</w:t>
      </w:r>
      <w:proofErr w:type="spellEnd"/>
      <w:r w:rsidRPr="00DF0296">
        <w:rPr>
          <w:rFonts w:cs="Times New Roman"/>
          <w:szCs w:val="24"/>
          <w:lang w:val="tr-TR"/>
        </w:rPr>
        <w:t xml:space="preserve"> </w:t>
      </w:r>
      <w:proofErr w:type="spellStart"/>
      <w:r w:rsidRPr="00DF0296">
        <w:rPr>
          <w:rFonts w:cs="Times New Roman"/>
          <w:szCs w:val="24"/>
          <w:lang w:val="tr-TR"/>
        </w:rPr>
        <w:t>des</w:t>
      </w:r>
      <w:proofErr w:type="spellEnd"/>
      <w:r w:rsidRPr="00DF0296">
        <w:rPr>
          <w:rFonts w:cs="Times New Roman"/>
          <w:szCs w:val="24"/>
          <w:lang w:val="tr-TR"/>
        </w:rPr>
        <w:t xml:space="preserve"> </w:t>
      </w:r>
      <w:proofErr w:type="spellStart"/>
      <w:r w:rsidRPr="00DF0296">
        <w:rPr>
          <w:rFonts w:cs="Times New Roman"/>
          <w:szCs w:val="24"/>
          <w:lang w:val="tr-TR"/>
        </w:rPr>
        <w:t>dispositions</w:t>
      </w:r>
      <w:proofErr w:type="spellEnd"/>
      <w:r w:rsidRPr="00DF0296">
        <w:rPr>
          <w:rFonts w:cs="Times New Roman"/>
          <w:szCs w:val="24"/>
          <w:lang w:val="tr-TR"/>
        </w:rPr>
        <w:t xml:space="preserve"> de la </w:t>
      </w:r>
      <w:proofErr w:type="spellStart"/>
      <w:r w:rsidRPr="00DF0296">
        <w:rPr>
          <w:rFonts w:cs="Times New Roman"/>
          <w:szCs w:val="24"/>
          <w:lang w:val="tr-TR"/>
        </w:rPr>
        <w:t>Convention</w:t>
      </w:r>
      <w:proofErr w:type="spellEnd"/>
      <w:r w:rsidRPr="00DF0296">
        <w:rPr>
          <w:rFonts w:cs="Times New Roman"/>
          <w:szCs w:val="24"/>
          <w:lang w:val="fr-FR"/>
        </w:rPr>
        <w:t xml:space="preserve"> de </w:t>
      </w:r>
      <w:r w:rsidRPr="00DF0296">
        <w:rPr>
          <w:lang w:val="fr-FR"/>
        </w:rPr>
        <w:t xml:space="preserve">tester les limites de cette nouvelle voie de recours </w:t>
      </w:r>
      <w:r w:rsidRPr="00DF0296">
        <w:rPr>
          <w:rFonts w:cs="Times New Roman"/>
          <w:szCs w:val="24"/>
          <w:lang w:val="fr-FR"/>
        </w:rPr>
        <w:t xml:space="preserve">(voir, </w:t>
      </w:r>
      <w:r w:rsidRPr="00DF0296">
        <w:rPr>
          <w:rFonts w:cs="Times New Roman"/>
          <w:i/>
          <w:szCs w:val="24"/>
          <w:lang w:val="fr-FR"/>
        </w:rPr>
        <w:t>mutatis mutandis</w:t>
      </w:r>
      <w:r w:rsidRPr="00DF0296">
        <w:rPr>
          <w:rFonts w:cs="Times New Roman"/>
          <w:szCs w:val="24"/>
          <w:lang w:val="fr-FR"/>
        </w:rPr>
        <w:t xml:space="preserve">, </w:t>
      </w:r>
      <w:proofErr w:type="spellStart"/>
      <w:r w:rsidRPr="00DF0296">
        <w:rPr>
          <w:rFonts w:cs="Times New Roman"/>
          <w:i/>
          <w:szCs w:val="24"/>
          <w:lang w:val="fr-FR"/>
        </w:rPr>
        <w:t>Şefik</w:t>
      </w:r>
      <w:proofErr w:type="spellEnd"/>
      <w:r w:rsidRPr="00DF0296">
        <w:rPr>
          <w:rFonts w:cs="Times New Roman"/>
          <w:i/>
          <w:szCs w:val="24"/>
          <w:lang w:val="fr-FR"/>
        </w:rPr>
        <w:t> </w:t>
      </w:r>
      <w:proofErr w:type="spellStart"/>
      <w:r w:rsidRPr="00DF0296">
        <w:rPr>
          <w:rFonts w:cs="Times New Roman"/>
          <w:i/>
          <w:szCs w:val="24"/>
          <w:lang w:val="fr-FR"/>
        </w:rPr>
        <w:t>Demir</w:t>
      </w:r>
      <w:proofErr w:type="spellEnd"/>
      <w:r w:rsidRPr="00DF0296">
        <w:rPr>
          <w:rFonts w:cs="Times New Roman"/>
          <w:szCs w:val="24"/>
          <w:lang w:val="fr-FR"/>
        </w:rPr>
        <w:t xml:space="preserve"> </w:t>
      </w:r>
      <w:r w:rsidRPr="00DF0296">
        <w:rPr>
          <w:rFonts w:cs="Times New Roman"/>
          <w:i/>
          <w:szCs w:val="24"/>
          <w:lang w:val="fr-FR"/>
        </w:rPr>
        <w:t>c. Turquie</w:t>
      </w:r>
      <w:r w:rsidRPr="00DF0296">
        <w:rPr>
          <w:rFonts w:cs="Times New Roman"/>
          <w:szCs w:val="24"/>
          <w:lang w:val="fr-FR"/>
        </w:rPr>
        <w:t xml:space="preserve"> (déc.), n</w:t>
      </w:r>
      <w:r w:rsidR="008A3A64" w:rsidRPr="00DF0296">
        <w:rPr>
          <w:rFonts w:cs="Times New Roman"/>
          <w:szCs w:val="24"/>
          <w:vertAlign w:val="superscript"/>
          <w:lang w:val="fr-FR"/>
        </w:rPr>
        <w:t>o</w:t>
      </w:r>
      <w:r w:rsidRPr="00DF0296">
        <w:rPr>
          <w:rFonts w:cs="Times New Roman"/>
          <w:szCs w:val="24"/>
          <w:lang w:val="fr-FR"/>
        </w:rPr>
        <w:t xml:space="preserve"> 51770/07, § 32, 16 octobre 2012, et </w:t>
      </w:r>
      <w:r w:rsidRPr="00DF0296">
        <w:rPr>
          <w:rFonts w:cs="Times New Roman"/>
          <w:i/>
          <w:szCs w:val="24"/>
          <w:lang w:val="fr-FR"/>
        </w:rPr>
        <w:t>Hasan Uzun c. Turquie</w:t>
      </w:r>
      <w:r w:rsidRPr="00DF0296">
        <w:rPr>
          <w:rFonts w:cs="Times New Roman"/>
          <w:szCs w:val="24"/>
          <w:lang w:val="fr-FR"/>
        </w:rPr>
        <w:t xml:space="preserve"> (déc.), n</w:t>
      </w:r>
      <w:r w:rsidR="008A3A64" w:rsidRPr="00DF0296">
        <w:rPr>
          <w:rFonts w:cs="Times New Roman"/>
          <w:szCs w:val="24"/>
          <w:vertAlign w:val="superscript"/>
          <w:lang w:val="fr-FR"/>
        </w:rPr>
        <w:t>o</w:t>
      </w:r>
      <w:r w:rsidRPr="00DF0296">
        <w:rPr>
          <w:rFonts w:cs="Times New Roman"/>
          <w:szCs w:val="24"/>
          <w:lang w:val="fr-FR"/>
        </w:rPr>
        <w:t xml:space="preserve"> 10755/13, § 69, 30 avril 2013).</w:t>
      </w:r>
    </w:p>
    <w:p w:rsidR="006C279B" w:rsidRPr="00DF0296" w:rsidRDefault="006C279B" w:rsidP="00DF0296">
      <w:pPr>
        <w:pStyle w:val="ECHRPara"/>
        <w:rPr>
          <w:lang w:val="fr-FR"/>
        </w:rPr>
      </w:pPr>
      <w:r w:rsidRPr="00DF0296">
        <w:rPr>
          <w:lang w:val="fr-FR"/>
        </w:rPr>
        <w:t>29.  Aussi la Cour conclut que la voie de recours instaurée par le décret-loi n</w:t>
      </w:r>
      <w:r w:rsidR="008A3A64" w:rsidRPr="00DF0296">
        <w:rPr>
          <w:vertAlign w:val="superscript"/>
          <w:lang w:val="fr-FR"/>
        </w:rPr>
        <w:t>o</w:t>
      </w:r>
      <w:r w:rsidRPr="00DF0296">
        <w:rPr>
          <w:lang w:val="fr-FR"/>
        </w:rPr>
        <w:t xml:space="preserve"> 685 constitue </w:t>
      </w:r>
      <w:r w:rsidRPr="00DF0296">
        <w:rPr>
          <w:i/>
          <w:lang w:val="fr-FR"/>
        </w:rPr>
        <w:t>a priori</w:t>
      </w:r>
      <w:r w:rsidRPr="00DF0296">
        <w:rPr>
          <w:lang w:val="fr-FR"/>
        </w:rPr>
        <w:t xml:space="preserve"> un recours accessible. Par ailleurs, elle ne dispose d</w:t>
      </w:r>
      <w:r w:rsidR="00DF0296" w:rsidRPr="00DF0296">
        <w:rPr>
          <w:lang w:val="fr-FR"/>
        </w:rPr>
        <w:t>’</w:t>
      </w:r>
      <w:r w:rsidRPr="00DF0296">
        <w:rPr>
          <w:lang w:val="fr-FR"/>
        </w:rPr>
        <w:t>aucun élément qui lui permettrait de dire que celle-ci n</w:t>
      </w:r>
      <w:r w:rsidR="00DF0296" w:rsidRPr="00DF0296">
        <w:rPr>
          <w:lang w:val="fr-FR"/>
        </w:rPr>
        <w:t>’</w:t>
      </w:r>
      <w:r w:rsidRPr="00DF0296">
        <w:rPr>
          <w:lang w:val="fr-FR"/>
        </w:rPr>
        <w:t>était pas susceptible d</w:t>
      </w:r>
      <w:r w:rsidR="00DF0296" w:rsidRPr="00DF0296">
        <w:rPr>
          <w:lang w:val="fr-FR"/>
        </w:rPr>
        <w:t>’</w:t>
      </w:r>
      <w:r w:rsidRPr="00DF0296">
        <w:rPr>
          <w:lang w:val="fr-FR"/>
        </w:rPr>
        <w:t>apporter un redressement approprié aux griefs du requérant tirés des dispositions de la Convention et qu</w:t>
      </w:r>
      <w:r w:rsidR="00DF0296" w:rsidRPr="00DF0296">
        <w:rPr>
          <w:lang w:val="fr-FR"/>
        </w:rPr>
        <w:t>’</w:t>
      </w:r>
      <w:r w:rsidRPr="00DF0296">
        <w:rPr>
          <w:lang w:val="fr-FR"/>
        </w:rPr>
        <w:t>elle n</w:t>
      </w:r>
      <w:r w:rsidR="00DF0296" w:rsidRPr="00DF0296">
        <w:rPr>
          <w:lang w:val="fr-FR"/>
        </w:rPr>
        <w:t>’</w:t>
      </w:r>
      <w:r w:rsidRPr="00DF0296">
        <w:rPr>
          <w:lang w:val="fr-FR"/>
        </w:rPr>
        <w:t>offrait pas des perspectives raisonnables de succès. En effet, même si la commission en question est, en tant que telle, un organe non-judiciaire, il n</w:t>
      </w:r>
      <w:r w:rsidR="00DF0296" w:rsidRPr="00DF0296">
        <w:rPr>
          <w:lang w:val="fr-FR"/>
        </w:rPr>
        <w:t>’</w:t>
      </w:r>
      <w:r w:rsidRPr="00DF0296">
        <w:rPr>
          <w:lang w:val="fr-FR"/>
        </w:rPr>
        <w:t xml:space="preserve">en reste pas moins que ses décisions sont </w:t>
      </w:r>
      <w:proofErr w:type="gramStart"/>
      <w:r w:rsidRPr="00DF0296">
        <w:rPr>
          <w:lang w:val="fr-FR"/>
        </w:rPr>
        <w:t>soumises</w:t>
      </w:r>
      <w:proofErr w:type="gramEnd"/>
      <w:r w:rsidRPr="00DF0296">
        <w:rPr>
          <w:lang w:val="fr-FR"/>
        </w:rPr>
        <w:t xml:space="preserve"> au contrôle judiciaire. La Cour souligne toutefois que cette conclusion ne préjuge en rien, le cas échéant, d</w:t>
      </w:r>
      <w:r w:rsidR="00DF0296" w:rsidRPr="00DF0296">
        <w:rPr>
          <w:lang w:val="fr-FR"/>
        </w:rPr>
        <w:t>’</w:t>
      </w:r>
      <w:r w:rsidRPr="00DF0296">
        <w:rPr>
          <w:lang w:val="fr-FR"/>
        </w:rPr>
        <w:t>un éventuel réexamen de la question de l</w:t>
      </w:r>
      <w:r w:rsidR="00DF0296" w:rsidRPr="00DF0296">
        <w:rPr>
          <w:lang w:val="fr-FR"/>
        </w:rPr>
        <w:t>’</w:t>
      </w:r>
      <w:r w:rsidRPr="00DF0296">
        <w:rPr>
          <w:lang w:val="fr-FR"/>
        </w:rPr>
        <w:t>effectivité et de la réalité du recours instauré par le décret-loi n</w:t>
      </w:r>
      <w:r w:rsidR="008A3A64" w:rsidRPr="00DF0296">
        <w:rPr>
          <w:vertAlign w:val="superscript"/>
          <w:lang w:val="fr-FR"/>
        </w:rPr>
        <w:t>o</w:t>
      </w:r>
      <w:r w:rsidRPr="00DF0296">
        <w:rPr>
          <w:lang w:val="fr-FR"/>
        </w:rPr>
        <w:t> 685, tant en théorie qu</w:t>
      </w:r>
      <w:r w:rsidR="00DF0296" w:rsidRPr="00DF0296">
        <w:rPr>
          <w:lang w:val="fr-FR"/>
        </w:rPr>
        <w:t>’</w:t>
      </w:r>
      <w:r w:rsidRPr="00DF0296">
        <w:rPr>
          <w:lang w:val="fr-FR"/>
        </w:rPr>
        <w:t>en pratique, à la lumière des décisions rendues par la commission en question et les juridictions nationales, ainsi que de l</w:t>
      </w:r>
      <w:r w:rsidR="00DF0296" w:rsidRPr="00DF0296">
        <w:rPr>
          <w:lang w:val="fr-FR"/>
        </w:rPr>
        <w:t>’</w:t>
      </w:r>
      <w:r w:rsidRPr="00DF0296">
        <w:rPr>
          <w:lang w:val="fr-FR"/>
        </w:rPr>
        <w:t>exécution effective de ces décisions. La Cour note en outre que</w:t>
      </w:r>
      <w:r w:rsidR="00EE422B" w:rsidRPr="00DF0296">
        <w:rPr>
          <w:lang w:val="fr-FR"/>
        </w:rPr>
        <w:t>,</w:t>
      </w:r>
      <w:r w:rsidRPr="00DF0296">
        <w:rPr>
          <w:lang w:val="fr-FR"/>
        </w:rPr>
        <w:t xml:space="preserve"> selon l</w:t>
      </w:r>
      <w:r w:rsidR="00DF0296" w:rsidRPr="00DF0296">
        <w:rPr>
          <w:lang w:val="fr-FR"/>
        </w:rPr>
        <w:t>’</w:t>
      </w:r>
      <w:r w:rsidRPr="00DF0296">
        <w:rPr>
          <w:lang w:val="fr-FR"/>
        </w:rPr>
        <w:t>article 7 § 3 du décret-loi et l</w:t>
      </w:r>
      <w:r w:rsidR="00DF0296" w:rsidRPr="00DF0296">
        <w:rPr>
          <w:lang w:val="fr-FR"/>
        </w:rPr>
        <w:t>’</w:t>
      </w:r>
      <w:r w:rsidRPr="00DF0296">
        <w:rPr>
          <w:lang w:val="fr-FR"/>
        </w:rPr>
        <w:t xml:space="preserve">article 1 de ses dispositions transitoires, le Premier ministre est tenu de fixer au plus tard au 23 juillet 2017 la date de réception des recours pour les fonctionnaires frappés de mesures </w:t>
      </w:r>
      <w:r w:rsidR="008502B4" w:rsidRPr="00DF0296">
        <w:rPr>
          <w:lang w:val="fr-FR"/>
        </w:rPr>
        <w:t>litigieuses</w:t>
      </w:r>
      <w:r w:rsidRPr="00DF0296">
        <w:rPr>
          <w:lang w:val="fr-FR"/>
        </w:rPr>
        <w:t>. En tout état de cause, la charge de la preuve concernant l</w:t>
      </w:r>
      <w:r w:rsidR="00DF0296" w:rsidRPr="00DF0296">
        <w:rPr>
          <w:lang w:val="fr-FR"/>
        </w:rPr>
        <w:t>’</w:t>
      </w:r>
      <w:r w:rsidRPr="00DF0296">
        <w:rPr>
          <w:lang w:val="fr-FR"/>
        </w:rPr>
        <w:t>effectivité de cette voie de recours pèsera alors sur l</w:t>
      </w:r>
      <w:r w:rsidR="00DF0296" w:rsidRPr="00DF0296">
        <w:rPr>
          <w:lang w:val="fr-FR"/>
        </w:rPr>
        <w:t>’</w:t>
      </w:r>
      <w:r w:rsidRPr="00DF0296">
        <w:rPr>
          <w:lang w:val="fr-FR"/>
        </w:rPr>
        <w:t xml:space="preserve">État défendeur (voir, en ce sens, </w:t>
      </w:r>
      <w:proofErr w:type="spellStart"/>
      <w:r w:rsidRPr="00DF0296">
        <w:rPr>
          <w:i/>
          <w:lang w:val="fr-FR"/>
        </w:rPr>
        <w:t>Taron</w:t>
      </w:r>
      <w:proofErr w:type="spellEnd"/>
      <w:r w:rsidRPr="00DF0296">
        <w:rPr>
          <w:i/>
          <w:lang w:val="fr-FR"/>
        </w:rPr>
        <w:t xml:space="preserve"> c. Allemagne </w:t>
      </w:r>
      <w:r w:rsidRPr="00DF0296">
        <w:rPr>
          <w:lang w:val="fr-FR"/>
        </w:rPr>
        <w:t>(déc.), n</w:t>
      </w:r>
      <w:r w:rsidRPr="00DF0296">
        <w:rPr>
          <w:vertAlign w:val="superscript"/>
          <w:lang w:val="fr-FR"/>
        </w:rPr>
        <w:t>o</w:t>
      </w:r>
      <w:r w:rsidRPr="00DF0296">
        <w:rPr>
          <w:lang w:val="fr-FR"/>
        </w:rPr>
        <w:t xml:space="preserve"> </w:t>
      </w:r>
      <w:hyperlink r:id="rId8" w:anchor="%7B%22appno%22:%5B%2253126/07%22%5D%7D" w:history="1">
        <w:r w:rsidRPr="00DF0296">
          <w:rPr>
            <w:lang w:val="fr-FR"/>
          </w:rPr>
          <w:t>53126/07</w:t>
        </w:r>
      </w:hyperlink>
      <w:r w:rsidRPr="00DF0296">
        <w:rPr>
          <w:lang w:val="fr-FR"/>
        </w:rPr>
        <w:t>, § 45, 29 mai 2012). La Cour conserve par ailleurs sa compétence de contrôle ultime pour tout grief présenté par des requérants qui, comme le veut le principe de subsidiarité, ont épuisé les voies de recours internes disponibles (</w:t>
      </w:r>
      <w:proofErr w:type="spellStart"/>
      <w:r w:rsidRPr="00DF0296">
        <w:rPr>
          <w:i/>
          <w:lang w:val="fr-FR"/>
        </w:rPr>
        <w:t>Radoljub</w:t>
      </w:r>
      <w:proofErr w:type="spellEnd"/>
      <w:r w:rsidRPr="00DF0296">
        <w:rPr>
          <w:i/>
          <w:lang w:val="fr-FR"/>
        </w:rPr>
        <w:t xml:space="preserve"> </w:t>
      </w:r>
      <w:proofErr w:type="spellStart"/>
      <w:r w:rsidRPr="00DF0296">
        <w:rPr>
          <w:i/>
          <w:lang w:val="fr-FR"/>
        </w:rPr>
        <w:t>Marinković</w:t>
      </w:r>
      <w:proofErr w:type="spellEnd"/>
      <w:r w:rsidRPr="00DF0296">
        <w:rPr>
          <w:i/>
          <w:lang w:val="fr-FR"/>
        </w:rPr>
        <w:t xml:space="preserve"> c. Serbie</w:t>
      </w:r>
      <w:r w:rsidRPr="00DF0296">
        <w:rPr>
          <w:lang w:val="fr-FR"/>
        </w:rPr>
        <w:t xml:space="preserve"> (déc.), n</w:t>
      </w:r>
      <w:r w:rsidRPr="00DF0296">
        <w:rPr>
          <w:vertAlign w:val="superscript"/>
          <w:lang w:val="fr-FR"/>
        </w:rPr>
        <w:t>o</w:t>
      </w:r>
      <w:r w:rsidRPr="00DF0296">
        <w:rPr>
          <w:lang w:val="fr-FR"/>
        </w:rPr>
        <w:t xml:space="preserve"> </w:t>
      </w:r>
      <w:hyperlink r:id="rId9" w:anchor="%7B%22appno%22:%5B%225353/11%22%5D%7D" w:history="1">
        <w:r w:rsidRPr="00DF0296">
          <w:rPr>
            <w:lang w:val="fr-FR"/>
          </w:rPr>
          <w:t>5353/11</w:t>
        </w:r>
      </w:hyperlink>
      <w:r w:rsidRPr="00DF0296">
        <w:rPr>
          <w:lang w:val="fr-FR"/>
        </w:rPr>
        <w:t>, §§ 49-61, 29 janvier 2013).</w:t>
      </w:r>
    </w:p>
    <w:p w:rsidR="006C279B" w:rsidRPr="00DF0296" w:rsidRDefault="006C279B" w:rsidP="00DF0296">
      <w:pPr>
        <w:pStyle w:val="ECHRPara"/>
        <w:rPr>
          <w:lang w:val="fr-FR"/>
        </w:rPr>
      </w:pPr>
      <w:r w:rsidRPr="00DF0296">
        <w:rPr>
          <w:lang w:val="fr-FR"/>
        </w:rPr>
        <w:t>30.  En somme, le requérant se plaignant d</w:t>
      </w:r>
      <w:r w:rsidR="00DF0296" w:rsidRPr="00DF0296">
        <w:rPr>
          <w:lang w:val="fr-FR"/>
        </w:rPr>
        <w:t>’</w:t>
      </w:r>
      <w:r w:rsidRPr="00DF0296">
        <w:rPr>
          <w:lang w:val="fr-FR"/>
        </w:rPr>
        <w:t xml:space="preserve">une violation, par la mesure de révocation litigieuse, de ses droits conventionnels, il lui </w:t>
      </w:r>
      <w:proofErr w:type="spellStart"/>
      <w:r w:rsidRPr="00DF0296">
        <w:rPr>
          <w:lang w:val="fr-FR"/>
        </w:rPr>
        <w:t>échet</w:t>
      </w:r>
      <w:proofErr w:type="spellEnd"/>
      <w:r w:rsidRPr="00DF0296">
        <w:rPr>
          <w:lang w:val="fr-FR"/>
        </w:rPr>
        <w:t>, conformément à l</w:t>
      </w:r>
      <w:r w:rsidR="00DF0296" w:rsidRPr="00DF0296">
        <w:rPr>
          <w:lang w:val="fr-FR"/>
        </w:rPr>
        <w:t>’</w:t>
      </w:r>
      <w:r w:rsidRPr="00DF0296">
        <w:rPr>
          <w:lang w:val="fr-FR"/>
        </w:rPr>
        <w:t>article 35 § 1 de la Convention, de faire usage de cette voie de recours. Il s</w:t>
      </w:r>
      <w:r w:rsidR="00DF0296" w:rsidRPr="00DF0296">
        <w:rPr>
          <w:lang w:val="fr-FR"/>
        </w:rPr>
        <w:t>’</w:t>
      </w:r>
      <w:r w:rsidRPr="00DF0296">
        <w:rPr>
          <w:lang w:val="fr-FR"/>
        </w:rPr>
        <w:t>ensuit que la requête doit être rejetée pour non</w:t>
      </w:r>
      <w:r w:rsidR="0049499A" w:rsidRPr="00DF0296">
        <w:rPr>
          <w:lang w:val="fr-FR"/>
        </w:rPr>
        <w:noBreakHyphen/>
      </w:r>
      <w:r w:rsidRPr="00DF0296">
        <w:rPr>
          <w:lang w:val="fr-FR"/>
        </w:rPr>
        <w:t>épuisement des voies de recours internes, en application de l</w:t>
      </w:r>
      <w:r w:rsidR="00DF0296" w:rsidRPr="00DF0296">
        <w:rPr>
          <w:lang w:val="fr-FR"/>
        </w:rPr>
        <w:t>’</w:t>
      </w:r>
      <w:r w:rsidRPr="00DF0296">
        <w:rPr>
          <w:lang w:val="fr-FR"/>
        </w:rPr>
        <w:t>article 35</w:t>
      </w:r>
      <w:r w:rsidR="0049499A" w:rsidRPr="00DF0296">
        <w:rPr>
          <w:lang w:val="fr-FR"/>
        </w:rPr>
        <w:t> </w:t>
      </w:r>
      <w:r w:rsidRPr="00DF0296">
        <w:rPr>
          <w:lang w:val="fr-FR"/>
        </w:rPr>
        <w:t>§§ 1 et 4 de la Convention.</w:t>
      </w:r>
    </w:p>
    <w:p w:rsidR="006C279B" w:rsidRPr="00DF0296" w:rsidRDefault="006C279B" w:rsidP="00DF0296">
      <w:pPr>
        <w:pStyle w:val="DecList"/>
        <w:rPr>
          <w:lang w:val="fr-FR"/>
        </w:rPr>
      </w:pPr>
      <w:r w:rsidRPr="00DF0296">
        <w:rPr>
          <w:lang w:val="fr-FR"/>
        </w:rPr>
        <w:t>Par ces motifs, la Cour, à l</w:t>
      </w:r>
      <w:r w:rsidR="00DF0296" w:rsidRPr="00DF0296">
        <w:rPr>
          <w:lang w:val="fr-FR"/>
        </w:rPr>
        <w:t>’</w:t>
      </w:r>
      <w:r w:rsidRPr="00DF0296">
        <w:rPr>
          <w:lang w:val="fr-FR"/>
        </w:rPr>
        <w:t>unanimité,</w:t>
      </w:r>
    </w:p>
    <w:p w:rsidR="006C279B" w:rsidRPr="00DF0296" w:rsidRDefault="006C279B" w:rsidP="00DF0296">
      <w:pPr>
        <w:pStyle w:val="DecList"/>
        <w:rPr>
          <w:lang w:val="fr-FR"/>
        </w:rPr>
      </w:pPr>
      <w:r w:rsidRPr="00DF0296">
        <w:rPr>
          <w:i/>
          <w:lang w:val="fr-FR"/>
        </w:rPr>
        <w:t xml:space="preserve">Déclare </w:t>
      </w:r>
      <w:r w:rsidRPr="00DF0296">
        <w:rPr>
          <w:lang w:val="fr-FR"/>
        </w:rPr>
        <w:t>la requête irrecevable.</w:t>
      </w:r>
    </w:p>
    <w:p w:rsidR="006544C4" w:rsidRPr="00DF0296" w:rsidRDefault="006544C4" w:rsidP="00DF0296">
      <w:pPr>
        <w:pStyle w:val="ECHRPara"/>
        <w:rPr>
          <w:sz w:val="2"/>
          <w:szCs w:val="2"/>
          <w:lang w:val="fr-FR" w:eastAsia="en-GB"/>
        </w:rPr>
      </w:pPr>
    </w:p>
    <w:p w:rsidR="00050A32" w:rsidRPr="00DF0296" w:rsidRDefault="00F40988" w:rsidP="00DF0296">
      <w:pPr>
        <w:pStyle w:val="JuParaLast"/>
        <w:rPr>
          <w:lang w:val="fr-FR"/>
        </w:rPr>
      </w:pPr>
      <w:r w:rsidRPr="00DF0296">
        <w:rPr>
          <w:szCs w:val="24"/>
          <w:lang w:val="fr-FR"/>
        </w:rPr>
        <w:t xml:space="preserve">Fait en français puis communiqué par écrit le </w:t>
      </w:r>
      <w:r w:rsidR="006C279B" w:rsidRPr="00DF0296">
        <w:rPr>
          <w:szCs w:val="24"/>
          <w:lang w:val="fr-FR"/>
        </w:rPr>
        <w:t>12 juin 2017</w:t>
      </w:r>
      <w:r w:rsidRPr="00DF0296">
        <w:rPr>
          <w:lang w:val="fr-FR"/>
        </w:rPr>
        <w:t>.</w:t>
      </w:r>
    </w:p>
    <w:p w:rsidR="0091478F" w:rsidRPr="00DF0296" w:rsidRDefault="006C279B" w:rsidP="00DF0296">
      <w:pPr>
        <w:pStyle w:val="JuSigned"/>
        <w:tabs>
          <w:tab w:val="clear" w:pos="6407"/>
          <w:tab w:val="center" w:pos="6804"/>
        </w:tabs>
        <w:ind w:right="-13"/>
        <w:rPr>
          <w:lang w:val="fr-FR"/>
        </w:rPr>
      </w:pPr>
      <w:bookmarkStart w:id="0" w:name="_GoBack"/>
      <w:bookmarkEnd w:id="0"/>
      <w:r w:rsidRPr="00DF0296">
        <w:rPr>
          <w:lang w:val="fr-FR"/>
        </w:rPr>
        <w:tab/>
        <w:t>Stanley Naismith</w:t>
      </w:r>
      <w:r w:rsidR="0091478F" w:rsidRPr="00DF0296">
        <w:rPr>
          <w:lang w:val="fr-FR"/>
        </w:rPr>
        <w:tab/>
      </w:r>
      <w:r w:rsidRPr="00DF0296">
        <w:rPr>
          <w:lang w:val="fr-FR"/>
        </w:rPr>
        <w:t>Robert Spano</w:t>
      </w:r>
      <w:r w:rsidR="00DF0296" w:rsidRPr="00DF0296">
        <w:rPr>
          <w:lang w:val="fr-FR"/>
        </w:rPr>
        <w:br/>
      </w:r>
      <w:r w:rsidR="0035621E" w:rsidRPr="00DF0296">
        <w:rPr>
          <w:iCs/>
          <w:lang w:val="fr-FR"/>
        </w:rPr>
        <w:tab/>
      </w:r>
      <w:r w:rsidRPr="00DF0296">
        <w:rPr>
          <w:lang w:val="fr-FR"/>
        </w:rPr>
        <w:t>Greffier</w:t>
      </w:r>
      <w:r w:rsidR="0091478F" w:rsidRPr="00DF0296">
        <w:rPr>
          <w:lang w:val="fr-FR"/>
        </w:rPr>
        <w:tab/>
      </w:r>
      <w:r w:rsidR="0049499A" w:rsidRPr="00DF0296">
        <w:rPr>
          <w:lang w:val="fr-FR"/>
        </w:rPr>
        <w:t xml:space="preserve"> </w:t>
      </w:r>
      <w:r w:rsidRPr="00DF0296">
        <w:rPr>
          <w:lang w:val="fr-FR"/>
        </w:rPr>
        <w:t>Président</w:t>
      </w:r>
    </w:p>
    <w:sectPr w:rsidR="0091478F" w:rsidRPr="00DF0296" w:rsidSect="00AF7102">
      <w:headerReference w:type="even" r:id="rId10"/>
      <w:headerReference w:type="default" r:id="rId11"/>
      <w:headerReference w:type="first" r:id="rId12"/>
      <w:footerReference w:type="first" r:id="rId13"/>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79B" w:rsidRPr="007A6280" w:rsidRDefault="006C279B" w:rsidP="006544C4">
      <w:pPr>
        <w:rPr>
          <w:lang w:val="fr-FR"/>
        </w:rPr>
      </w:pPr>
      <w:r w:rsidRPr="007A6280">
        <w:rPr>
          <w:lang w:val="fr-FR"/>
        </w:rPr>
        <w:separator/>
      </w:r>
    </w:p>
  </w:endnote>
  <w:endnote w:type="continuationSeparator" w:id="0">
    <w:p w:rsidR="006C279B" w:rsidRPr="007A6280" w:rsidRDefault="006C279B" w:rsidP="006544C4">
      <w:pPr>
        <w:rPr>
          <w:lang w:val="fr-FR"/>
        </w:rPr>
      </w:pPr>
      <w:r w:rsidRPr="007A6280">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79B" w:rsidRPr="00150BFA" w:rsidRDefault="006C279B" w:rsidP="0020718E">
    <w:pPr>
      <w:jc w:val="center"/>
    </w:pPr>
    <w:r>
      <w:rPr>
        <w:noProof/>
        <w:lang w:eastAsia="ja-JP"/>
      </w:rPr>
      <w:drawing>
        <wp:inline distT="0" distB="0" distL="0" distR="0" wp14:anchorId="3D7FCBB3" wp14:editId="6AB65802">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7A6280" w:rsidRDefault="001E20E4" w:rsidP="003146E4">
    <w:pPr>
      <w:jc w:val="center"/>
      <w:rPr>
        <w:szCs w:val="1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79B" w:rsidRPr="007A6280" w:rsidRDefault="006C279B" w:rsidP="006544C4">
      <w:pPr>
        <w:rPr>
          <w:lang w:val="fr-FR"/>
        </w:rPr>
      </w:pPr>
      <w:r w:rsidRPr="007A6280">
        <w:rPr>
          <w:lang w:val="fr-FR"/>
        </w:rPr>
        <w:separator/>
      </w:r>
    </w:p>
  </w:footnote>
  <w:footnote w:type="continuationSeparator" w:id="0">
    <w:p w:rsidR="006C279B" w:rsidRPr="007A6280" w:rsidRDefault="006C279B" w:rsidP="006544C4">
      <w:pPr>
        <w:rPr>
          <w:lang w:val="fr-FR"/>
        </w:rPr>
      </w:pPr>
      <w:r w:rsidRPr="007A6280">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8B0BD9" w:rsidRDefault="006C279B" w:rsidP="003312A3">
    <w:pPr>
      <w:pStyle w:val="ECHRHeader"/>
      <w:rPr>
        <w:lang w:val="en-GB"/>
      </w:rPr>
    </w:pPr>
    <w:r>
      <w:rPr>
        <w:rStyle w:val="PageNumber"/>
        <w:lang w:val="en-GB"/>
      </w:rPr>
      <w:fldChar w:fldCharType="begin"/>
    </w:r>
    <w:r>
      <w:rPr>
        <w:rStyle w:val="PageNumber"/>
        <w:lang w:val="en-GB"/>
      </w:rPr>
      <w:instrText xml:space="preserve"> PAGE </w:instrText>
    </w:r>
    <w:r>
      <w:rPr>
        <w:rStyle w:val="PageNumber"/>
        <w:lang w:val="en-GB"/>
      </w:rPr>
      <w:fldChar w:fldCharType="separate"/>
    </w:r>
    <w:r w:rsidR="00480426">
      <w:rPr>
        <w:rStyle w:val="PageNumber"/>
        <w:noProof/>
        <w:lang w:val="en-GB"/>
      </w:rPr>
      <w:t>12</w:t>
    </w:r>
    <w:r>
      <w:rPr>
        <w:rStyle w:val="PageNumber"/>
        <w:lang w:val="en-GB"/>
      </w:rPr>
      <w:fldChar w:fldCharType="end"/>
    </w:r>
    <w:r w:rsidR="00334EC5" w:rsidRPr="008B0BD9">
      <w:rPr>
        <w:lang w:val="en-GB"/>
      </w:rPr>
      <w:tab/>
      <w:t xml:space="preserve">DÉCISION </w:t>
    </w:r>
    <w:r>
      <w:rPr>
        <w:lang w:val="en-GB"/>
      </w:rPr>
      <w:t>KÖKSAL c. TURQUIE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8B0BD9" w:rsidRDefault="00334EC5" w:rsidP="006544C4">
    <w:pPr>
      <w:pStyle w:val="ECHRHeader"/>
      <w:rPr>
        <w:lang w:val="en-GB"/>
      </w:rPr>
    </w:pPr>
    <w:r w:rsidRPr="007A6280">
      <w:rPr>
        <w:lang w:val="fr-FR"/>
      </w:rPr>
      <w:tab/>
    </w:r>
    <w:r w:rsidRPr="008B0BD9">
      <w:rPr>
        <w:lang w:val="en-GB"/>
      </w:rPr>
      <w:t xml:space="preserve">DÉCISION </w:t>
    </w:r>
    <w:r w:rsidR="006C279B">
      <w:rPr>
        <w:lang w:val="en-GB"/>
      </w:rPr>
      <w:t>KÖKSAL c. TURQUIE</w:t>
    </w:r>
    <w:r w:rsidRPr="008B0BD9">
      <w:rPr>
        <w:lang w:val="en-GB"/>
      </w:rPr>
      <w:tab/>
    </w:r>
    <w:r w:rsidR="006C279B">
      <w:rPr>
        <w:rStyle w:val="PageNumber"/>
        <w:lang w:val="en-GB"/>
      </w:rPr>
      <w:fldChar w:fldCharType="begin"/>
    </w:r>
    <w:r w:rsidR="006C279B">
      <w:rPr>
        <w:rStyle w:val="PageNumber"/>
        <w:lang w:val="en-GB"/>
      </w:rPr>
      <w:instrText xml:space="preserve"> PAGE </w:instrText>
    </w:r>
    <w:r w:rsidR="006C279B">
      <w:rPr>
        <w:rStyle w:val="PageNumber"/>
        <w:lang w:val="en-GB"/>
      </w:rPr>
      <w:fldChar w:fldCharType="separate"/>
    </w:r>
    <w:r w:rsidR="00480426">
      <w:rPr>
        <w:rStyle w:val="PageNumber"/>
        <w:noProof/>
        <w:lang w:val="en-GB"/>
      </w:rPr>
      <w:t>11</w:t>
    </w:r>
    <w:r w:rsidR="006C279B">
      <w:rPr>
        <w:rStyle w:val="PageNumber"/>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79B" w:rsidRPr="00A45145" w:rsidRDefault="006C279B" w:rsidP="00A45145">
    <w:pPr>
      <w:jc w:val="center"/>
    </w:pPr>
    <w:r>
      <w:rPr>
        <w:noProof/>
        <w:lang w:eastAsia="ja-JP"/>
      </w:rPr>
      <w:drawing>
        <wp:inline distT="0" distB="0" distL="0" distR="0" wp14:anchorId="49826CED" wp14:editId="2B9991EC">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Pr="007A6280" w:rsidRDefault="001E20E4" w:rsidP="003146E4">
    <w:pPr>
      <w:jc w:val="cen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6C56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84B4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BEA7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0CE46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BB0CD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215E9F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CCD2930"/>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0"/>
  </w:num>
  <w:num w:numId="7">
    <w:abstractNumId w:val="11"/>
  </w:num>
  <w:num w:numId="8">
    <w:abstractNumId w:val="7"/>
  </w:num>
  <w:num w:numId="9">
    <w:abstractNumId w:val="6"/>
  </w:num>
  <w:num w:numId="10">
    <w:abstractNumId w:val="15"/>
  </w:num>
  <w:num w:numId="11">
    <w:abstractNumId w:val="15"/>
  </w:num>
  <w:num w:numId="12">
    <w:abstractNumId w:val="13"/>
  </w:num>
  <w:num w:numId="13">
    <w:abstractNumId w:val="14"/>
  </w:num>
  <w:num w:numId="14">
    <w:abstractNumId w:val="16"/>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5"/>
  </w:num>
  <w:num w:numId="2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AppNatAutre" w:val="0"/>
    <w:docVar w:name="DocVarPREMATURE" w:val="0"/>
    <w:docVar w:name="EMM" w:val="0"/>
    <w:docVar w:name="ETRANSMISSION" w:val="PAR VOIE ÉLECTRONIQUE UNIQUEMENT"/>
    <w:docVar w:name="L4_1Annex" w:val="0"/>
    <w:docVar w:name="L4_1Anonymity" w:val="0"/>
    <w:docVar w:name="NBEMMDOC" w:val="0"/>
    <w:docVar w:name="Plural" w:val="0"/>
    <w:docVar w:name="SignForeName" w:val="0"/>
  </w:docVars>
  <w:rsids>
    <w:rsidRoot w:val="006C279B"/>
    <w:rsid w:val="000041F8"/>
    <w:rsid w:val="000042A8"/>
    <w:rsid w:val="00004308"/>
    <w:rsid w:val="00005BF0"/>
    <w:rsid w:val="00007154"/>
    <w:rsid w:val="000103AE"/>
    <w:rsid w:val="00011D69"/>
    <w:rsid w:val="00012AD3"/>
    <w:rsid w:val="00015C2D"/>
    <w:rsid w:val="00015F00"/>
    <w:rsid w:val="00022C1D"/>
    <w:rsid w:val="000279B8"/>
    <w:rsid w:val="00034987"/>
    <w:rsid w:val="00050A32"/>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3054"/>
    <w:rsid w:val="000F7851"/>
    <w:rsid w:val="001016E5"/>
    <w:rsid w:val="00104E23"/>
    <w:rsid w:val="00111B0C"/>
    <w:rsid w:val="00120D6C"/>
    <w:rsid w:val="001257EC"/>
    <w:rsid w:val="00133D33"/>
    <w:rsid w:val="00134D64"/>
    <w:rsid w:val="00135A30"/>
    <w:rsid w:val="0013612C"/>
    <w:rsid w:val="00137FF6"/>
    <w:rsid w:val="00141650"/>
    <w:rsid w:val="00162A12"/>
    <w:rsid w:val="00166234"/>
    <w:rsid w:val="00166530"/>
    <w:rsid w:val="0016678F"/>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21E"/>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4F3D"/>
    <w:rsid w:val="00477E3A"/>
    <w:rsid w:val="00480426"/>
    <w:rsid w:val="00483E5F"/>
    <w:rsid w:val="00485FF9"/>
    <w:rsid w:val="004907F0"/>
    <w:rsid w:val="0049140B"/>
    <w:rsid w:val="004923A5"/>
    <w:rsid w:val="0049499A"/>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544C4"/>
    <w:rsid w:val="006545C4"/>
    <w:rsid w:val="00661971"/>
    <w:rsid w:val="00661CE8"/>
    <w:rsid w:val="006623D9"/>
    <w:rsid w:val="0066550C"/>
    <w:rsid w:val="00667C68"/>
    <w:rsid w:val="006716F2"/>
    <w:rsid w:val="00682BF2"/>
    <w:rsid w:val="006859CE"/>
    <w:rsid w:val="00691270"/>
    <w:rsid w:val="00694BA8"/>
    <w:rsid w:val="006A037C"/>
    <w:rsid w:val="006A36F4"/>
    <w:rsid w:val="006A406F"/>
    <w:rsid w:val="006A5D3A"/>
    <w:rsid w:val="006B7E08"/>
    <w:rsid w:val="006C23D4"/>
    <w:rsid w:val="006C279B"/>
    <w:rsid w:val="006C7BB0"/>
    <w:rsid w:val="006D3237"/>
    <w:rsid w:val="006E2E37"/>
    <w:rsid w:val="006E3CF1"/>
    <w:rsid w:val="006E7E80"/>
    <w:rsid w:val="006F19B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6280"/>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02B4"/>
    <w:rsid w:val="00851EF9"/>
    <w:rsid w:val="008577FD"/>
    <w:rsid w:val="00860B03"/>
    <w:rsid w:val="0086497A"/>
    <w:rsid w:val="008713A1"/>
    <w:rsid w:val="008754AB"/>
    <w:rsid w:val="0088060C"/>
    <w:rsid w:val="00893576"/>
    <w:rsid w:val="00893E73"/>
    <w:rsid w:val="008A3A64"/>
    <w:rsid w:val="008B02DC"/>
    <w:rsid w:val="008B0BD9"/>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478F"/>
    <w:rsid w:val="0091510C"/>
    <w:rsid w:val="009259AC"/>
    <w:rsid w:val="00926AB3"/>
    <w:rsid w:val="00926F38"/>
    <w:rsid w:val="00934301"/>
    <w:rsid w:val="00934A97"/>
    <w:rsid w:val="00936CD1"/>
    <w:rsid w:val="00941747"/>
    <w:rsid w:val="0094178F"/>
    <w:rsid w:val="00941EFB"/>
    <w:rsid w:val="00947AFB"/>
    <w:rsid w:val="00951D7D"/>
    <w:rsid w:val="009630C7"/>
    <w:rsid w:val="00972B55"/>
    <w:rsid w:val="009743B7"/>
    <w:rsid w:val="00977DA8"/>
    <w:rsid w:val="0098228B"/>
    <w:rsid w:val="009828DA"/>
    <w:rsid w:val="00985BAB"/>
    <w:rsid w:val="009B1B5F"/>
    <w:rsid w:val="009B2BDB"/>
    <w:rsid w:val="009B6673"/>
    <w:rsid w:val="009C191B"/>
    <w:rsid w:val="009C2BD6"/>
    <w:rsid w:val="009E1F32"/>
    <w:rsid w:val="009E776C"/>
    <w:rsid w:val="009F1D6B"/>
    <w:rsid w:val="00A1726E"/>
    <w:rsid w:val="00A204CF"/>
    <w:rsid w:val="00A23D49"/>
    <w:rsid w:val="00A27004"/>
    <w:rsid w:val="00A30C29"/>
    <w:rsid w:val="00A34DD6"/>
    <w:rsid w:val="00A353E4"/>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C6FC1"/>
    <w:rsid w:val="00AD4F05"/>
    <w:rsid w:val="00AE0A2E"/>
    <w:rsid w:val="00AE354C"/>
    <w:rsid w:val="00AF4B07"/>
    <w:rsid w:val="00AF6186"/>
    <w:rsid w:val="00AF7102"/>
    <w:rsid w:val="00AF7A3A"/>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1CA3"/>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9CB"/>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3F5E"/>
    <w:rsid w:val="00D44C2E"/>
    <w:rsid w:val="00D45414"/>
    <w:rsid w:val="00D566BD"/>
    <w:rsid w:val="00D57A4D"/>
    <w:rsid w:val="00D60AA7"/>
    <w:rsid w:val="00D6435F"/>
    <w:rsid w:val="00D75E28"/>
    <w:rsid w:val="00D76234"/>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296"/>
    <w:rsid w:val="00DF098B"/>
    <w:rsid w:val="00DF1114"/>
    <w:rsid w:val="00DF11C4"/>
    <w:rsid w:val="00DF210C"/>
    <w:rsid w:val="00DF4B6A"/>
    <w:rsid w:val="00E02897"/>
    <w:rsid w:val="00E02C09"/>
    <w:rsid w:val="00E04D59"/>
    <w:rsid w:val="00E07DA1"/>
    <w:rsid w:val="00E123CB"/>
    <w:rsid w:val="00E17227"/>
    <w:rsid w:val="00E20E13"/>
    <w:rsid w:val="00E21DB2"/>
    <w:rsid w:val="00E21DBC"/>
    <w:rsid w:val="00E275D7"/>
    <w:rsid w:val="00E27DBE"/>
    <w:rsid w:val="00E32AB1"/>
    <w:rsid w:val="00E36C71"/>
    <w:rsid w:val="00E40112"/>
    <w:rsid w:val="00E40404"/>
    <w:rsid w:val="00E459C6"/>
    <w:rsid w:val="00E47589"/>
    <w:rsid w:val="00E50630"/>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16F3"/>
    <w:rsid w:val="00EC315E"/>
    <w:rsid w:val="00EC78A3"/>
    <w:rsid w:val="00ED077C"/>
    <w:rsid w:val="00ED1190"/>
    <w:rsid w:val="00ED6544"/>
    <w:rsid w:val="00EE0277"/>
    <w:rsid w:val="00EE3E00"/>
    <w:rsid w:val="00EE422B"/>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56A6F"/>
    <w:rsid w:val="00F5709C"/>
    <w:rsid w:val="00F64EF1"/>
    <w:rsid w:val="00F8765F"/>
    <w:rsid w:val="00F90767"/>
    <w:rsid w:val="00F9130D"/>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iPriority="0"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lsdException w:name="List 2" w:semiHidden="1" w:uiPriority="0" w:unhideWhenUsed="1"/>
    <w:lsdException w:name="List 3" w:semiHidden="1" w:unhideWhenUsed="1"/>
    <w:lsdException w:name="List 4" w:semiHidden="1" w:uiPriority="0"/>
    <w:lsdException w:name="List 5" w:semiHidden="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uiPriority="61"/>
    <w:lsdException w:name="Light Grid"/>
    <w:lsdException w:name="Medium Shading 1"/>
    <w:lsdException w:name="Medium Shading 2"/>
    <w:lsdException w:name="Medium List 1"/>
    <w:lsdException w:name="Medium List 2" w:uiPriority="66"/>
    <w:lsdException w:name="Medium Grid 1" w:uiPriority="67"/>
    <w:lsdException w:name="Medium Grid 2"/>
    <w:lsdException w:name="Medium Grid 3"/>
    <w:lsdException w:name="Dark List"/>
    <w:lsdException w:name="Colorful Shading"/>
    <w:lsdException w:name="Colorful List" w:uiPriority="72"/>
    <w:lsdException w:name="Colorful Grid"/>
    <w:lsdException w:name="Light Shading Accent 1"/>
    <w:lsdException w:name="Light List Accent 1"/>
    <w:lsdException w:name="Light Grid Accent 1" w:uiPriority="62"/>
    <w:lsdException w:name="Medium Shading 1 Accent 1" w:uiPriority="63"/>
    <w:lsdException w:name="Medium Shading 2 Accent 1"/>
    <w:lsdException w:name="Medium List 1 Accent 1" w:uiPriority="65"/>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68"/>
    <w:lsdException w:name="Medium Grid 3 Accent 1"/>
    <w:lsdException w:name="Dark List Accent 1"/>
    <w:lsdException w:name="Colorful Shading Accent 1"/>
    <w:lsdException w:name="Colorful List Accent 1"/>
    <w:lsdException w:name="Colorful Grid Accent 1" w:uiPriority="73"/>
    <w:lsdException w:name="Light Shading Accent 2"/>
    <w:lsdException w:name="Light List Accent 2" w:uiPriority="61"/>
    <w:lsdException w:name="Light Grid Accent 2"/>
    <w:lsdException w:name="Medium Shading 1 Accent 2"/>
    <w:lsdException w:name="Medium Shading 2 Accent 2" w:uiPriority="64"/>
    <w:lsdException w:name="Medium List 1 Accent 2"/>
    <w:lsdException w:name="Medium List 2 Accent 2" w:uiPriority="66"/>
    <w:lsdException w:name="Medium Grid 1 Accent 2"/>
    <w:lsdException w:name="Medium Grid 2 Accent 2"/>
    <w:lsdException w:name="Medium Grid 3 Accent 2" w:uiPriority="69"/>
    <w:lsdException w:name="Dark List Accent 2" w:uiPriority="70"/>
    <w:lsdException w:name="Colorful Shading Accent 2"/>
    <w:lsdException w:name="Colorful List Accent 2" w:uiPriority="72"/>
    <w:lsdException w:name="Colorful Grid Accent 2"/>
    <w:lsdException w:name="Light Shading Accent 3" w:uiPriority="60"/>
    <w:lsdException w:name="Light List Accent 3"/>
    <w:lsdException w:name="Light Grid Accent 3"/>
    <w:lsdException w:name="Medium Shading 1 Accent 3" w:uiPriority="63"/>
    <w:lsdException w:name="Medium Shading 2 Accent 3"/>
    <w:lsdException w:name="Medium List 1 Accent 3" w:uiPriority="65"/>
    <w:lsdException w:name="Medium List 2 Accent 3"/>
    <w:lsdException w:name="Medium Grid 1 Accent 3"/>
    <w:lsdException w:name="Medium Grid 2 Accent 3"/>
    <w:lsdException w:name="Medium Grid 3 Accent 3"/>
    <w:lsdException w:name="Dark List Accent 3"/>
    <w:lsdException w:name="Colorful Shading Accent 3" w:uiPriority="71"/>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uiPriority="66"/>
    <w:lsdException w:name="Medium Grid 1 Accent 4" w:uiPriority="67"/>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uiPriority="62"/>
    <w:lsdException w:name="Medium Shading 1 Accent 5" w:uiPriority="63"/>
    <w:lsdException w:name="Medium Shading 2 Accent 5"/>
    <w:lsdException w:name="Medium List 1 Accent 5"/>
    <w:lsdException w:name="Medium List 2 Accent 5"/>
    <w:lsdException w:name="Medium Grid 1 Accent 5"/>
    <w:lsdException w:name="Medium Grid 2 Accent 5" w:uiPriority="68"/>
    <w:lsdException w:name="Medium Grid 3 Accent 5"/>
    <w:lsdException w:name="Dark List Accent 5"/>
    <w:lsdException w:name="Colorful Shading Accent 5"/>
    <w:lsdException w:name="Colorful List Accent 5"/>
    <w:lsdException w:name="Colorful Grid Accent 5" w:uiPriority="73"/>
    <w:lsdException w:name="Light Shading Accent 6"/>
    <w:lsdException w:name="Light List Accent 6" w:uiPriority="61"/>
    <w:lsdException w:name="Light Grid Accent 6"/>
    <w:lsdException w:name="Medium Shading 1 Accent 6"/>
    <w:lsdException w:name="Medium Shading 2 Accent 6" w:uiPriority="64"/>
    <w:lsdException w:name="Medium List 1 Accent 6"/>
    <w:lsdException w:name="Medium List 2 Accent 6"/>
    <w:lsdException w:name="Medium Grid 1 Accent 6" w:uiPriority="67"/>
    <w:lsdException w:name="Medium Grid 2 Accent 6"/>
    <w:lsdException w:name="Medium Grid 3 Accent 6" w:uiPriority="69"/>
    <w:lsdException w:name="Dark List Accent 6" w:uiPriority="70"/>
    <w:lsdException w:name="Colorful Shading Accent 6"/>
    <w:lsdException w:name="Colorful List Accent 6" w:uiPriority="72"/>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F9130D"/>
    <w:pPr>
      <w:jc w:val="both"/>
    </w:pPr>
    <w:rPr>
      <w:rFonts w:eastAsiaTheme="minorEastAsia"/>
      <w:sz w:val="24"/>
    </w:rPr>
  </w:style>
  <w:style w:type="paragraph" w:styleId="Heading1">
    <w:name w:val="heading 1"/>
    <w:basedOn w:val="Normal"/>
    <w:next w:val="Normal"/>
    <w:link w:val="Heading1Char"/>
    <w:uiPriority w:val="99"/>
    <w:semiHidden/>
    <w:rsid w:val="00F9130D"/>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F9130D"/>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F9130D"/>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F9130D"/>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F9130D"/>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F9130D"/>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F9130D"/>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F9130D"/>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F9130D"/>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9130D"/>
    <w:rPr>
      <w:rFonts w:ascii="Tahoma" w:hAnsi="Tahoma" w:cs="Tahoma"/>
      <w:sz w:val="16"/>
      <w:szCs w:val="16"/>
    </w:rPr>
  </w:style>
  <w:style w:type="character" w:customStyle="1" w:styleId="BalloonTextChar">
    <w:name w:val="Balloon Text Char"/>
    <w:basedOn w:val="DefaultParagraphFont"/>
    <w:link w:val="BalloonText"/>
    <w:uiPriority w:val="99"/>
    <w:semiHidden/>
    <w:rsid w:val="00F9130D"/>
    <w:rPr>
      <w:rFonts w:ascii="Tahoma" w:eastAsiaTheme="minorEastAsia" w:hAnsi="Tahoma" w:cs="Tahoma"/>
      <w:sz w:val="16"/>
      <w:szCs w:val="16"/>
    </w:rPr>
  </w:style>
  <w:style w:type="character" w:styleId="BookTitle">
    <w:name w:val="Book Title"/>
    <w:uiPriority w:val="99"/>
    <w:semiHidden/>
    <w:qFormat/>
    <w:rsid w:val="00F9130D"/>
    <w:rPr>
      <w:i/>
      <w:iCs/>
      <w:smallCaps/>
      <w:spacing w:val="5"/>
    </w:rPr>
  </w:style>
  <w:style w:type="paragraph" w:customStyle="1" w:styleId="ECHRHeader">
    <w:name w:val="ECHR_Header"/>
    <w:aliases w:val="Ju_Header"/>
    <w:basedOn w:val="Header"/>
    <w:uiPriority w:val="4"/>
    <w:qFormat/>
    <w:rsid w:val="00F9130D"/>
    <w:pPr>
      <w:tabs>
        <w:tab w:val="clear" w:pos="4536"/>
        <w:tab w:val="clear" w:pos="9072"/>
        <w:tab w:val="center" w:pos="3686"/>
        <w:tab w:val="right" w:pos="7371"/>
      </w:tabs>
      <w:jc w:val="left"/>
    </w:pPr>
    <w:rPr>
      <w:sz w:val="18"/>
    </w:rPr>
  </w:style>
  <w:style w:type="paragraph" w:customStyle="1" w:styleId="JuAppQuestion">
    <w:name w:val="Ju_App_Question"/>
    <w:basedOn w:val="Normal"/>
    <w:uiPriority w:val="5"/>
    <w:qFormat/>
    <w:rsid w:val="00F9130D"/>
    <w:pPr>
      <w:numPr>
        <w:numId w:val="25"/>
      </w:numPr>
      <w:jc w:val="left"/>
    </w:pPr>
    <w:rPr>
      <w:b/>
    </w:rPr>
  </w:style>
  <w:style w:type="character" w:styleId="Strong">
    <w:name w:val="Strong"/>
    <w:uiPriority w:val="99"/>
    <w:semiHidden/>
    <w:qFormat/>
    <w:rsid w:val="00F9130D"/>
    <w:rPr>
      <w:b/>
      <w:bCs/>
    </w:rPr>
  </w:style>
  <w:style w:type="paragraph" w:styleId="NoSpacing">
    <w:name w:val="No Spacing"/>
    <w:basedOn w:val="Normal"/>
    <w:link w:val="NoSpacingChar"/>
    <w:semiHidden/>
    <w:qFormat/>
    <w:rsid w:val="00F9130D"/>
    <w:rPr>
      <w:sz w:val="22"/>
    </w:rPr>
  </w:style>
  <w:style w:type="character" w:customStyle="1" w:styleId="NoSpacingChar">
    <w:name w:val="No Spacing Char"/>
    <w:basedOn w:val="DefaultParagraphFont"/>
    <w:link w:val="NoSpacing"/>
    <w:semiHidden/>
    <w:rsid w:val="00F9130D"/>
    <w:rPr>
      <w:rFonts w:eastAsiaTheme="minorEastAsia"/>
    </w:rPr>
  </w:style>
  <w:style w:type="paragraph" w:customStyle="1" w:styleId="OpiPara">
    <w:name w:val="Opi_Para"/>
    <w:basedOn w:val="ECHRPara"/>
    <w:uiPriority w:val="46"/>
    <w:qFormat/>
    <w:rsid w:val="00F9130D"/>
  </w:style>
  <w:style w:type="paragraph" w:customStyle="1" w:styleId="ECHRParaQuote">
    <w:name w:val="ECHR_Para_Quote"/>
    <w:aliases w:val="Ju_Quot"/>
    <w:basedOn w:val="Normal"/>
    <w:uiPriority w:val="14"/>
    <w:qFormat/>
    <w:rsid w:val="00F9130D"/>
    <w:pPr>
      <w:spacing w:before="120" w:after="120"/>
      <w:ind w:left="425" w:firstLine="142"/>
    </w:pPr>
    <w:rPr>
      <w:sz w:val="20"/>
    </w:rPr>
  </w:style>
  <w:style w:type="paragraph" w:customStyle="1" w:styleId="JuParaSub">
    <w:name w:val="Ju_Para_Sub"/>
    <w:basedOn w:val="ECHRPara"/>
    <w:uiPriority w:val="13"/>
    <w:qFormat/>
    <w:rsid w:val="00F9130D"/>
    <w:pPr>
      <w:ind w:left="284"/>
    </w:pPr>
  </w:style>
  <w:style w:type="paragraph" w:customStyle="1" w:styleId="OpiParaSub">
    <w:name w:val="Opi_Para_Sub"/>
    <w:basedOn w:val="JuParaSub"/>
    <w:uiPriority w:val="47"/>
    <w:qFormat/>
    <w:rsid w:val="00F9130D"/>
  </w:style>
  <w:style w:type="paragraph" w:customStyle="1" w:styleId="OpiQuot">
    <w:name w:val="Opi_Quot"/>
    <w:basedOn w:val="ECHRParaQuote"/>
    <w:uiPriority w:val="48"/>
    <w:qFormat/>
    <w:rsid w:val="00F9130D"/>
  </w:style>
  <w:style w:type="paragraph" w:customStyle="1" w:styleId="OpiQuotSub">
    <w:name w:val="Opi_Quot_Sub"/>
    <w:basedOn w:val="JuQuotSub"/>
    <w:uiPriority w:val="49"/>
    <w:qFormat/>
    <w:rsid w:val="00F9130D"/>
  </w:style>
  <w:style w:type="paragraph" w:customStyle="1" w:styleId="ECHRTitleCentre3">
    <w:name w:val="ECHR_Title_Centre_3"/>
    <w:aliases w:val="Ju_H_Article"/>
    <w:basedOn w:val="Normal"/>
    <w:next w:val="ECHRParaQuote"/>
    <w:uiPriority w:val="27"/>
    <w:qFormat/>
    <w:rsid w:val="00F9130D"/>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F9130D"/>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F9130D"/>
    <w:pPr>
      <w:ind w:left="567"/>
    </w:pPr>
  </w:style>
  <w:style w:type="paragraph" w:customStyle="1" w:styleId="ECHRTitle1">
    <w:name w:val="ECHR_Title_1"/>
    <w:aliases w:val="Ju_H_Head"/>
    <w:basedOn w:val="Normal"/>
    <w:next w:val="ECHRPara"/>
    <w:uiPriority w:val="18"/>
    <w:qFormat/>
    <w:rsid w:val="00F9130D"/>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F9130D"/>
    <w:pPr>
      <w:tabs>
        <w:tab w:val="center" w:pos="6407"/>
      </w:tabs>
      <w:spacing w:before="720"/>
      <w:jc w:val="right"/>
    </w:pPr>
  </w:style>
  <w:style w:type="paragraph" w:styleId="Title">
    <w:name w:val="Title"/>
    <w:basedOn w:val="Normal"/>
    <w:next w:val="Normal"/>
    <w:link w:val="TitleChar"/>
    <w:uiPriority w:val="99"/>
    <w:semiHidden/>
    <w:qFormat/>
    <w:rsid w:val="00F9130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F9130D"/>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qFormat/>
    <w:rsid w:val="00F9130D"/>
    <w:pPr>
      <w:tabs>
        <w:tab w:val="clear" w:pos="357"/>
      </w:tabs>
      <w:outlineLvl w:val="1"/>
    </w:pPr>
    <w:rPr>
      <w:b/>
    </w:rPr>
  </w:style>
  <w:style w:type="character" w:customStyle="1" w:styleId="JUNAMES">
    <w:name w:val="JU_NAMES"/>
    <w:uiPriority w:val="17"/>
    <w:qFormat/>
    <w:rsid w:val="00F9130D"/>
    <w:rPr>
      <w:caps w:val="0"/>
      <w:smallCaps/>
    </w:rPr>
  </w:style>
  <w:style w:type="character" w:customStyle="1" w:styleId="JuITMark">
    <w:name w:val="Ju_ITMark"/>
    <w:basedOn w:val="DefaultParagraphFont"/>
    <w:uiPriority w:val="38"/>
    <w:qFormat/>
    <w:rsid w:val="00F9130D"/>
    <w:rPr>
      <w:vanish w:val="0"/>
      <w:color w:val="auto"/>
      <w:sz w:val="14"/>
      <w:bdr w:val="none" w:sz="0" w:space="0" w:color="auto"/>
      <w:shd w:val="clear" w:color="auto" w:fill="BEE5FF" w:themeFill="background1" w:themeFillTint="33"/>
    </w:rPr>
  </w:style>
  <w:style w:type="paragraph" w:customStyle="1" w:styleId="OpiTranslation">
    <w:name w:val="Opi_Translation"/>
    <w:basedOn w:val="Normal"/>
    <w:next w:val="OpiPara"/>
    <w:uiPriority w:val="40"/>
    <w:qFormat/>
    <w:rsid w:val="00F9130D"/>
    <w:pPr>
      <w:jc w:val="center"/>
      <w:outlineLvl w:val="0"/>
    </w:pPr>
    <w:rPr>
      <w:i/>
    </w:rPr>
  </w:style>
  <w:style w:type="paragraph" w:customStyle="1" w:styleId="JuCourt">
    <w:name w:val="Ju_Court"/>
    <w:basedOn w:val="Normal"/>
    <w:next w:val="Normal"/>
    <w:uiPriority w:val="16"/>
    <w:qFormat/>
    <w:rsid w:val="00F9130D"/>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ECHRPara"/>
    <w:uiPriority w:val="19"/>
    <w:qFormat/>
    <w:rsid w:val="00F9130D"/>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F9130D"/>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ECHRPara"/>
    <w:uiPriority w:val="21"/>
    <w:qFormat/>
    <w:rsid w:val="00F9130D"/>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57"/>
    <w:semiHidden/>
    <w:rsid w:val="00F9130D"/>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F9130D"/>
    <w:rPr>
      <w:sz w:val="24"/>
    </w:rPr>
  </w:style>
  <w:style w:type="character" w:customStyle="1" w:styleId="Heading1Char">
    <w:name w:val="Heading 1 Char"/>
    <w:basedOn w:val="DefaultParagraphFont"/>
    <w:link w:val="Heading1"/>
    <w:uiPriority w:val="99"/>
    <w:semiHidden/>
    <w:rsid w:val="00F9130D"/>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ECHRPara"/>
    <w:uiPriority w:val="22"/>
    <w:qFormat/>
    <w:rsid w:val="00F9130D"/>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F9130D"/>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F9130D"/>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ECHRPara"/>
    <w:uiPriority w:val="24"/>
    <w:qFormat/>
    <w:rsid w:val="00F9130D"/>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F9130D"/>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F9130D"/>
    <w:rPr>
      <w:rFonts w:asciiTheme="majorHAnsi" w:eastAsiaTheme="majorEastAsia" w:hAnsiTheme="majorHAnsi" w:cstheme="majorBidi"/>
      <w:b/>
      <w:bCs/>
      <w:color w:val="5F5F5F"/>
      <w:sz w:val="24"/>
    </w:rPr>
  </w:style>
  <w:style w:type="paragraph" w:customStyle="1" w:styleId="JuParaLast">
    <w:name w:val="Ju_Para_Last"/>
    <w:basedOn w:val="Normal"/>
    <w:next w:val="ECHRPara"/>
    <w:uiPriority w:val="30"/>
    <w:qFormat/>
    <w:rsid w:val="00F9130D"/>
    <w:pPr>
      <w:keepNext/>
      <w:keepLines/>
      <w:spacing w:before="240"/>
      <w:ind w:firstLine="284"/>
    </w:pPr>
  </w:style>
  <w:style w:type="paragraph" w:customStyle="1" w:styleId="DecList">
    <w:name w:val="Dec_List"/>
    <w:basedOn w:val="Normal"/>
    <w:uiPriority w:val="9"/>
    <w:qFormat/>
    <w:rsid w:val="00F9130D"/>
    <w:pPr>
      <w:spacing w:before="240"/>
      <w:ind w:left="284"/>
    </w:pPr>
  </w:style>
  <w:style w:type="character" w:customStyle="1" w:styleId="Heading4Char">
    <w:name w:val="Heading 4 Char"/>
    <w:basedOn w:val="DefaultParagraphFont"/>
    <w:link w:val="Heading4"/>
    <w:uiPriority w:val="99"/>
    <w:semiHidden/>
    <w:rsid w:val="00F9130D"/>
    <w:rPr>
      <w:rFonts w:asciiTheme="majorHAnsi" w:eastAsiaTheme="majorEastAsia" w:hAnsiTheme="majorHAnsi" w:cstheme="majorBidi"/>
      <w:b/>
      <w:bCs/>
      <w:i/>
      <w:iCs/>
      <w:color w:val="777777"/>
      <w:sz w:val="24"/>
    </w:rPr>
  </w:style>
  <w:style w:type="paragraph" w:customStyle="1" w:styleId="ECHRDecisionBody">
    <w:name w:val="ECHR_Decision_Body"/>
    <w:aliases w:val="Ju_Judges"/>
    <w:basedOn w:val="Normal"/>
    <w:uiPriority w:val="11"/>
    <w:qFormat/>
    <w:rsid w:val="00F9130D"/>
    <w:pPr>
      <w:tabs>
        <w:tab w:val="left" w:pos="567"/>
        <w:tab w:val="left" w:pos="1134"/>
      </w:tabs>
      <w:jc w:val="left"/>
    </w:pPr>
  </w:style>
  <w:style w:type="character" w:customStyle="1" w:styleId="Heading5Char">
    <w:name w:val="Heading 5 Char"/>
    <w:basedOn w:val="DefaultParagraphFont"/>
    <w:link w:val="Heading5"/>
    <w:uiPriority w:val="99"/>
    <w:semiHidden/>
    <w:rsid w:val="00F9130D"/>
    <w:rPr>
      <w:rFonts w:asciiTheme="majorHAnsi" w:eastAsiaTheme="majorEastAsia" w:hAnsiTheme="majorHAnsi" w:cstheme="majorBidi"/>
      <w:b/>
      <w:bCs/>
      <w:color w:val="808080"/>
    </w:rPr>
  </w:style>
  <w:style w:type="paragraph" w:customStyle="1" w:styleId="JuList">
    <w:name w:val="Ju_List"/>
    <w:basedOn w:val="Normal"/>
    <w:uiPriority w:val="28"/>
    <w:qFormat/>
    <w:rsid w:val="00F9130D"/>
    <w:pPr>
      <w:ind w:left="340" w:hanging="340"/>
    </w:pPr>
  </w:style>
  <w:style w:type="paragraph" w:customStyle="1" w:styleId="JuLista">
    <w:name w:val="Ju_List_a"/>
    <w:basedOn w:val="JuList"/>
    <w:uiPriority w:val="28"/>
    <w:qFormat/>
    <w:rsid w:val="00F9130D"/>
    <w:pPr>
      <w:ind w:left="346" w:firstLine="0"/>
    </w:pPr>
  </w:style>
  <w:style w:type="character" w:styleId="SubtleEmphasis">
    <w:name w:val="Subtle Emphasis"/>
    <w:uiPriority w:val="99"/>
    <w:semiHidden/>
    <w:qFormat/>
    <w:rsid w:val="00F9130D"/>
    <w:rPr>
      <w:i/>
      <w:iCs/>
    </w:rPr>
  </w:style>
  <w:style w:type="paragraph" w:customStyle="1" w:styleId="JuListi">
    <w:name w:val="Ju_List_i"/>
    <w:basedOn w:val="Normal"/>
    <w:next w:val="JuLista"/>
    <w:uiPriority w:val="28"/>
    <w:qFormat/>
    <w:rsid w:val="00F9130D"/>
    <w:pPr>
      <w:ind w:left="794"/>
    </w:p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qFormat/>
    <w:rsid w:val="00F9130D"/>
    <w:pPr>
      <w:ind w:left="635" w:hanging="357"/>
      <w:outlineLvl w:val="2"/>
    </w:pPr>
  </w:style>
  <w:style w:type="paragraph" w:customStyle="1" w:styleId="OpiHa0">
    <w:name w:val="Opi_H_a"/>
    <w:basedOn w:val="ECHRHeading3"/>
    <w:uiPriority w:val="43"/>
    <w:qFormat/>
    <w:rsid w:val="00F9130D"/>
    <w:pPr>
      <w:ind w:left="833" w:hanging="357"/>
      <w:outlineLvl w:val="3"/>
    </w:pPr>
    <w:rPr>
      <w:b/>
      <w:i w:val="0"/>
      <w:sz w:val="20"/>
    </w:rPr>
  </w:style>
  <w:style w:type="paragraph" w:customStyle="1" w:styleId="ECHRTitleCentre2">
    <w:name w:val="ECHR_Title_Centre_2"/>
    <w:aliases w:val="Dec_H_Case"/>
    <w:basedOn w:val="Normal"/>
    <w:next w:val="ECHRPara"/>
    <w:uiPriority w:val="8"/>
    <w:qFormat/>
    <w:rsid w:val="00F9130D"/>
    <w:pPr>
      <w:spacing w:after="240"/>
      <w:jc w:val="center"/>
      <w:outlineLvl w:val="0"/>
    </w:pPr>
    <w:rPr>
      <w:rFonts w:asciiTheme="majorHAnsi" w:hAnsiTheme="majorHAnsi"/>
    </w:rPr>
  </w:style>
  <w:style w:type="character" w:styleId="Emphasis">
    <w:name w:val="Emphasis"/>
    <w:uiPriority w:val="99"/>
    <w:semiHidden/>
    <w:qFormat/>
    <w:rsid w:val="00F9130D"/>
    <w:rPr>
      <w:b/>
      <w:bCs/>
      <w:i/>
      <w:iCs/>
      <w:spacing w:val="10"/>
      <w:bdr w:val="none" w:sz="0" w:space="0" w:color="auto"/>
      <w:shd w:val="clear" w:color="auto" w:fill="auto"/>
    </w:rPr>
  </w:style>
  <w:style w:type="paragraph" w:styleId="Footer">
    <w:name w:val="footer"/>
    <w:basedOn w:val="Normal"/>
    <w:link w:val="FooterChar"/>
    <w:uiPriority w:val="57"/>
    <w:semiHidden/>
    <w:rsid w:val="00F9130D"/>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F9130D"/>
    <w:rPr>
      <w:sz w:val="24"/>
    </w:rPr>
  </w:style>
  <w:style w:type="character" w:styleId="FootnoteReference">
    <w:name w:val="footnote reference"/>
    <w:basedOn w:val="DefaultParagraphFont"/>
    <w:uiPriority w:val="99"/>
    <w:semiHidden/>
    <w:rsid w:val="00F9130D"/>
    <w:rPr>
      <w:vertAlign w:val="superscript"/>
    </w:rPr>
  </w:style>
  <w:style w:type="paragraph" w:styleId="FootnoteText">
    <w:name w:val="footnote text"/>
    <w:basedOn w:val="Normal"/>
    <w:link w:val="FootnoteTextChar"/>
    <w:uiPriority w:val="99"/>
    <w:semiHidden/>
    <w:rsid w:val="00F9130D"/>
    <w:rPr>
      <w:sz w:val="20"/>
      <w:szCs w:val="20"/>
    </w:rPr>
  </w:style>
  <w:style w:type="character" w:customStyle="1" w:styleId="FootnoteTextChar">
    <w:name w:val="Footnote Text Char"/>
    <w:basedOn w:val="DefaultParagraphFont"/>
    <w:link w:val="FootnoteText"/>
    <w:uiPriority w:val="99"/>
    <w:semiHidden/>
    <w:rsid w:val="00F9130D"/>
    <w:rPr>
      <w:rFonts w:eastAsiaTheme="minorEastAsia"/>
      <w:sz w:val="20"/>
      <w:szCs w:val="20"/>
    </w:rPr>
  </w:style>
  <w:style w:type="character" w:customStyle="1" w:styleId="Heading6Char">
    <w:name w:val="Heading 6 Char"/>
    <w:basedOn w:val="DefaultParagraphFont"/>
    <w:link w:val="Heading6"/>
    <w:uiPriority w:val="99"/>
    <w:semiHidden/>
    <w:rsid w:val="00F9130D"/>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F9130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F9130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F9130D"/>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F9130D"/>
    <w:rPr>
      <w:color w:val="0072BC" w:themeColor="hyperlink"/>
      <w:u w:val="single"/>
    </w:rPr>
  </w:style>
  <w:style w:type="character" w:styleId="IntenseEmphasis">
    <w:name w:val="Intense Emphasis"/>
    <w:uiPriority w:val="99"/>
    <w:semiHidden/>
    <w:qFormat/>
    <w:rsid w:val="00F9130D"/>
    <w:rPr>
      <w:b/>
      <w:bCs/>
    </w:rPr>
  </w:style>
  <w:style w:type="paragraph" w:styleId="IntenseQuote">
    <w:name w:val="Intense Quote"/>
    <w:basedOn w:val="Normal"/>
    <w:next w:val="Normal"/>
    <w:link w:val="IntenseQuoteChar"/>
    <w:uiPriority w:val="99"/>
    <w:semiHidden/>
    <w:qFormat/>
    <w:rsid w:val="00F9130D"/>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F9130D"/>
    <w:rPr>
      <w:rFonts w:eastAsiaTheme="minorEastAsia"/>
      <w:b/>
      <w:bCs/>
      <w:i/>
      <w:iCs/>
      <w:lang w:bidi="en-US"/>
    </w:rPr>
  </w:style>
  <w:style w:type="character" w:styleId="IntenseReference">
    <w:name w:val="Intense Reference"/>
    <w:uiPriority w:val="99"/>
    <w:semiHidden/>
    <w:qFormat/>
    <w:rsid w:val="00F9130D"/>
    <w:rPr>
      <w:smallCaps/>
      <w:spacing w:val="5"/>
      <w:u w:val="single"/>
    </w:rPr>
  </w:style>
  <w:style w:type="paragraph" w:styleId="ListParagraph">
    <w:name w:val="List Paragraph"/>
    <w:basedOn w:val="Normal"/>
    <w:uiPriority w:val="99"/>
    <w:semiHidden/>
    <w:qFormat/>
    <w:rsid w:val="00F9130D"/>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F9130D"/>
    <w:pPr>
      <w:spacing w:before="200"/>
      <w:ind w:left="360" w:right="360"/>
    </w:pPr>
    <w:rPr>
      <w:i/>
      <w:iCs/>
      <w:sz w:val="22"/>
      <w:lang w:bidi="en-US"/>
    </w:rPr>
  </w:style>
  <w:style w:type="character" w:customStyle="1" w:styleId="QuoteChar">
    <w:name w:val="Quote Char"/>
    <w:basedOn w:val="DefaultParagraphFont"/>
    <w:link w:val="Quote"/>
    <w:uiPriority w:val="99"/>
    <w:semiHidden/>
    <w:rsid w:val="00F9130D"/>
    <w:rPr>
      <w:rFonts w:eastAsiaTheme="minorEastAsia"/>
      <w:i/>
      <w:iCs/>
      <w:lang w:bidi="en-US"/>
    </w:rPr>
  </w:style>
  <w:style w:type="character" w:styleId="SubtleReference">
    <w:name w:val="Subtle Reference"/>
    <w:uiPriority w:val="99"/>
    <w:semiHidden/>
    <w:qFormat/>
    <w:rsid w:val="00F9130D"/>
    <w:rPr>
      <w:smallCaps/>
    </w:rPr>
  </w:style>
  <w:style w:type="table" w:styleId="TableGrid">
    <w:name w:val="Table Grid"/>
    <w:basedOn w:val="TableNormal"/>
    <w:uiPriority w:val="59"/>
    <w:semiHidden/>
    <w:rsid w:val="00F9130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F9130D"/>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F9130D"/>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F9130D"/>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F9130D"/>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F9130D"/>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F9130D"/>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F9130D"/>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OpiHi">
    <w:name w:val="Opi_H_i"/>
    <w:basedOn w:val="ECHRHeading4"/>
    <w:uiPriority w:val="44"/>
    <w:qFormat/>
    <w:rsid w:val="00F9130D"/>
    <w:pPr>
      <w:ind w:left="1037" w:hanging="357"/>
      <w:outlineLvl w:val="4"/>
    </w:pPr>
    <w:rPr>
      <w:b w:val="0"/>
      <w:i/>
    </w:rPr>
  </w:style>
  <w:style w:type="paragraph" w:customStyle="1" w:styleId="DummyStyle">
    <w:name w:val="Dummy_Style"/>
    <w:basedOn w:val="Normal"/>
    <w:semiHidden/>
    <w:qFormat/>
    <w:rsid w:val="00F9130D"/>
    <w:rPr>
      <w:color w:val="00B050"/>
    </w:rPr>
  </w:style>
  <w:style w:type="paragraph" w:styleId="Subtitle">
    <w:name w:val="Subtitle"/>
    <w:basedOn w:val="Normal"/>
    <w:next w:val="Normal"/>
    <w:link w:val="SubtitleChar"/>
    <w:uiPriority w:val="99"/>
    <w:semiHidden/>
    <w:qFormat/>
    <w:rsid w:val="00F9130D"/>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
    <w:basedOn w:val="Normal"/>
    <w:link w:val="ECHRParaChar"/>
    <w:uiPriority w:val="12"/>
    <w:qFormat/>
    <w:rsid w:val="00F9130D"/>
    <w:pPr>
      <w:ind w:firstLine="284"/>
    </w:pPr>
  </w:style>
  <w:style w:type="character" w:customStyle="1" w:styleId="SubtitleChar">
    <w:name w:val="Subtitle Char"/>
    <w:basedOn w:val="DefaultParagraphFont"/>
    <w:link w:val="Subtitle"/>
    <w:uiPriority w:val="99"/>
    <w:semiHidden/>
    <w:rsid w:val="00F9130D"/>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oList"/>
    <w:uiPriority w:val="99"/>
    <w:semiHidden/>
    <w:unhideWhenUsed/>
    <w:rsid w:val="006544C4"/>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F9130D"/>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oList"/>
    <w:semiHidden/>
    <w:unhideWhenUsed/>
    <w:rsid w:val="006544C4"/>
    <w:pPr>
      <w:numPr>
        <w:numId w:val="13"/>
      </w:numPr>
    </w:pPr>
  </w:style>
  <w:style w:type="numbering" w:styleId="ArticleSection">
    <w:name w:val="Outline List 3"/>
    <w:basedOn w:val="NoList"/>
    <w:uiPriority w:val="99"/>
    <w:semiHidden/>
    <w:unhideWhenUsed/>
    <w:rsid w:val="006544C4"/>
    <w:pPr>
      <w:numPr>
        <w:numId w:val="14"/>
      </w:numPr>
    </w:p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phy">
    <w:name w:val="Bibliography"/>
    <w:basedOn w:val="Normal"/>
    <w:next w:val="Normal"/>
    <w:uiPriority w:val="99"/>
    <w:semiHidden/>
    <w:rsid w:val="006544C4"/>
  </w:style>
  <w:style w:type="paragraph" w:styleId="BlockText">
    <w:name w:val="Block Text"/>
    <w:basedOn w:val="Normal"/>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
    <w:name w:val="Body Text"/>
    <w:basedOn w:val="Normal"/>
    <w:link w:val="BodyTextChar"/>
    <w:semiHidden/>
    <w:rsid w:val="006544C4"/>
    <w:pPr>
      <w:spacing w:after="120"/>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PageNumber">
    <w:name w:val="page number"/>
    <w:basedOn w:val="DefaultParagraphFont"/>
    <w:uiPriority w:val="99"/>
    <w:semiHidden/>
    <w:rsid w:val="006544C4"/>
    <w:rPr>
      <w:rFonts w:ascii="Times New Roman" w:hAnsi="Times New Roman" w:cs="Times New Roman"/>
      <w:sz w:val="18"/>
    </w:rPr>
  </w:style>
  <w:style w:type="character" w:styleId="CommentReference">
    <w:name w:val="annotation reference"/>
    <w:basedOn w:val="DefaultParagraphFont"/>
    <w:uiPriority w:val="99"/>
    <w:semiHidden/>
    <w:rsid w:val="006544C4"/>
    <w:rPr>
      <w:sz w:val="16"/>
    </w:rPr>
  </w:style>
  <w:style w:type="paragraph" w:styleId="CommentText">
    <w:name w:val="annotation text"/>
    <w:basedOn w:val="Normal"/>
    <w:link w:val="CommentTextChar"/>
    <w:semiHidden/>
    <w:rsid w:val="006544C4"/>
    <w:rPr>
      <w:sz w:val="20"/>
    </w:rPr>
  </w:style>
  <w:style w:type="character" w:customStyle="1" w:styleId="CommentTextChar">
    <w:name w:val="Comment Text Char"/>
    <w:basedOn w:val="DefaultParagraphFont"/>
    <w:link w:val="CommentText"/>
    <w:semiHidden/>
    <w:rsid w:val="006544C4"/>
    <w:rPr>
      <w:rFonts w:eastAsiaTheme="minorEastAsia"/>
      <w:sz w:val="20"/>
    </w:rPr>
  </w:style>
  <w:style w:type="paragraph" w:customStyle="1" w:styleId="JuSigned">
    <w:name w:val="Ju_Signed"/>
    <w:basedOn w:val="Normal"/>
    <w:next w:val="JuParaLast"/>
    <w:uiPriority w:val="32"/>
    <w:qFormat/>
    <w:rsid w:val="00F9130D"/>
    <w:pPr>
      <w:tabs>
        <w:tab w:val="center" w:pos="851"/>
        <w:tab w:val="center" w:pos="6407"/>
      </w:tabs>
      <w:spacing w:before="720"/>
      <w:jc w:val="left"/>
    </w:pPr>
  </w:style>
  <w:style w:type="paragraph" w:customStyle="1" w:styleId="JuTitle">
    <w:name w:val="Ju_Title"/>
    <w:basedOn w:val="Normal"/>
    <w:next w:val="ECHRPara"/>
    <w:uiPriority w:val="3"/>
    <w:qFormat/>
    <w:rsid w:val="00F9130D"/>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F9130D"/>
  </w:style>
  <w:style w:type="paragraph" w:styleId="ListBullet2">
    <w:name w:val="List Bullet 2"/>
    <w:basedOn w:val="Normal"/>
    <w:uiPriority w:val="99"/>
    <w:semiHidden/>
    <w:rsid w:val="006544C4"/>
    <w:pPr>
      <w:numPr>
        <w:numId w:val="8"/>
      </w:numPr>
      <w:contextualSpacing/>
    </w:pPr>
  </w:style>
  <w:style w:type="paragraph" w:styleId="ListBullet3">
    <w:name w:val="List Bullet 3"/>
    <w:basedOn w:val="Normal"/>
    <w:semiHidden/>
    <w:rsid w:val="006544C4"/>
    <w:pPr>
      <w:numPr>
        <w:numId w:val="9"/>
      </w:numPr>
      <w:contextualSpacing/>
    </w:pPr>
  </w:style>
  <w:style w:type="character" w:customStyle="1" w:styleId="BodyTextChar">
    <w:name w:val="Body Text Char"/>
    <w:basedOn w:val="DefaultParagraphFont"/>
    <w:link w:val="BodyText"/>
    <w:semiHidden/>
    <w:rsid w:val="006544C4"/>
    <w:rPr>
      <w:rFonts w:eastAsiaTheme="minorEastAsia"/>
      <w:sz w:val="24"/>
    </w:rPr>
  </w:style>
  <w:style w:type="paragraph" w:styleId="BodyText2">
    <w:name w:val="Body Text 2"/>
    <w:basedOn w:val="Normal"/>
    <w:link w:val="BodyText2Char"/>
    <w:uiPriority w:val="99"/>
    <w:semiHidden/>
    <w:rsid w:val="006544C4"/>
    <w:pPr>
      <w:spacing w:after="120" w:line="480" w:lineRule="auto"/>
    </w:pPr>
  </w:style>
  <w:style w:type="character" w:customStyle="1" w:styleId="BodyText2Char">
    <w:name w:val="Body Text 2 Char"/>
    <w:basedOn w:val="DefaultParagraphFont"/>
    <w:link w:val="BodyText2"/>
    <w:uiPriority w:val="99"/>
    <w:semiHidden/>
    <w:rsid w:val="006544C4"/>
    <w:rPr>
      <w:rFonts w:eastAsiaTheme="minorEastAsia"/>
      <w:sz w:val="24"/>
    </w:rPr>
  </w:style>
  <w:style w:type="paragraph" w:styleId="BodyText3">
    <w:name w:val="Body Text 3"/>
    <w:basedOn w:val="Normal"/>
    <w:link w:val="BodyText3Char"/>
    <w:uiPriority w:val="99"/>
    <w:semiHidden/>
    <w:rsid w:val="006544C4"/>
    <w:pPr>
      <w:spacing w:after="120"/>
    </w:pPr>
    <w:rPr>
      <w:sz w:val="16"/>
      <w:szCs w:val="16"/>
    </w:rPr>
  </w:style>
  <w:style w:type="character" w:customStyle="1" w:styleId="BodyText3Char">
    <w:name w:val="Body Text 3 Char"/>
    <w:basedOn w:val="DefaultParagraphFont"/>
    <w:link w:val="BodyText3"/>
    <w:uiPriority w:val="99"/>
    <w:semiHidden/>
    <w:rsid w:val="006544C4"/>
    <w:rPr>
      <w:rFonts w:eastAsiaTheme="minorEastAsia"/>
      <w:sz w:val="16"/>
      <w:szCs w:val="16"/>
    </w:rPr>
  </w:style>
  <w:style w:type="paragraph" w:styleId="BodyTextFirstIndent">
    <w:name w:val="Body Text First Indent"/>
    <w:basedOn w:val="BodyText"/>
    <w:link w:val="BodyTextFirstIndentChar"/>
    <w:uiPriority w:val="99"/>
    <w:semiHidden/>
    <w:rsid w:val="006544C4"/>
    <w:pPr>
      <w:spacing w:after="0"/>
      <w:ind w:firstLine="360"/>
    </w:pPr>
  </w:style>
  <w:style w:type="character" w:customStyle="1" w:styleId="BodyTextFirstIndentChar">
    <w:name w:val="Body Text First Indent Char"/>
    <w:basedOn w:val="BodyTextChar"/>
    <w:link w:val="BodyTextFirstIndent"/>
    <w:uiPriority w:val="99"/>
    <w:semiHidden/>
    <w:rsid w:val="006544C4"/>
    <w:rPr>
      <w:rFonts w:eastAsiaTheme="minorEastAsia"/>
      <w:sz w:val="24"/>
    </w:rPr>
  </w:style>
  <w:style w:type="paragraph" w:styleId="BodyTextIndent">
    <w:name w:val="Body Text Indent"/>
    <w:basedOn w:val="Normal"/>
    <w:link w:val="BodyTextIndentChar"/>
    <w:uiPriority w:val="99"/>
    <w:semiHidden/>
    <w:rsid w:val="006544C4"/>
    <w:pPr>
      <w:spacing w:after="120"/>
      <w:ind w:left="283"/>
    </w:pPr>
  </w:style>
  <w:style w:type="character" w:customStyle="1" w:styleId="BodyTextIndentChar">
    <w:name w:val="Body Text Indent Char"/>
    <w:basedOn w:val="DefaultParagraphFont"/>
    <w:link w:val="BodyTextIndent"/>
    <w:uiPriority w:val="99"/>
    <w:semiHidden/>
    <w:rsid w:val="006544C4"/>
    <w:rPr>
      <w:rFonts w:eastAsiaTheme="minorEastAsia"/>
      <w:sz w:val="24"/>
    </w:rPr>
  </w:style>
  <w:style w:type="paragraph" w:styleId="BodyTextFirstIndent2">
    <w:name w:val="Body Text First Indent 2"/>
    <w:basedOn w:val="BodyTextIndent"/>
    <w:link w:val="BodyTextFirstIndent2Char"/>
    <w:semiHidden/>
    <w:rsid w:val="006544C4"/>
    <w:pPr>
      <w:spacing w:after="0"/>
      <w:ind w:left="360" w:firstLine="360"/>
    </w:pPr>
  </w:style>
  <w:style w:type="character" w:customStyle="1" w:styleId="BodyTextFirstIndent2Char">
    <w:name w:val="Body Text First Indent 2 Char"/>
    <w:basedOn w:val="BodyTextIndentChar"/>
    <w:link w:val="BodyTextFirstIndent2"/>
    <w:semiHidden/>
    <w:rsid w:val="006544C4"/>
    <w:rPr>
      <w:rFonts w:eastAsiaTheme="minorEastAsia"/>
      <w:sz w:val="24"/>
    </w:rPr>
  </w:style>
  <w:style w:type="paragraph" w:styleId="BodyTextIndent2">
    <w:name w:val="Body Text Indent 2"/>
    <w:basedOn w:val="Normal"/>
    <w:link w:val="BodyTextIndent2Char"/>
    <w:semiHidden/>
    <w:rsid w:val="006544C4"/>
    <w:pPr>
      <w:spacing w:after="120" w:line="480" w:lineRule="auto"/>
      <w:ind w:left="283"/>
    </w:pPr>
  </w:style>
  <w:style w:type="character" w:customStyle="1" w:styleId="BodyTextIndent2Char">
    <w:name w:val="Body Text Indent 2 Char"/>
    <w:basedOn w:val="DefaultParagraphFont"/>
    <w:link w:val="BodyTextIndent2"/>
    <w:semiHidden/>
    <w:rsid w:val="006544C4"/>
    <w:rPr>
      <w:rFonts w:eastAsiaTheme="minorEastAsia"/>
      <w:sz w:val="24"/>
    </w:rPr>
  </w:style>
  <w:style w:type="paragraph" w:styleId="BodyTextIndent3">
    <w:name w:val="Body Text Indent 3"/>
    <w:basedOn w:val="Normal"/>
    <w:link w:val="BodyTextIndent3Char"/>
    <w:uiPriority w:val="99"/>
    <w:semiHidden/>
    <w:rsid w:val="006544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544C4"/>
    <w:rPr>
      <w:rFonts w:eastAsiaTheme="minorEastAsia"/>
      <w:sz w:val="16"/>
      <w:szCs w:val="16"/>
    </w:rPr>
  </w:style>
  <w:style w:type="paragraph" w:styleId="Caption">
    <w:name w:val="caption"/>
    <w:basedOn w:val="Normal"/>
    <w:next w:val="Normal"/>
    <w:uiPriority w:val="99"/>
    <w:semiHidden/>
    <w:qFormat/>
    <w:rsid w:val="006544C4"/>
    <w:pPr>
      <w:spacing w:after="200"/>
    </w:pPr>
    <w:rPr>
      <w:b/>
      <w:bCs/>
      <w:color w:val="0072BC" w:themeColor="accent1"/>
      <w:sz w:val="18"/>
      <w:szCs w:val="18"/>
    </w:rPr>
  </w:style>
  <w:style w:type="paragraph" w:styleId="Closing">
    <w:name w:val="Closing"/>
    <w:basedOn w:val="Normal"/>
    <w:link w:val="ClosingChar"/>
    <w:uiPriority w:val="99"/>
    <w:semiHidden/>
    <w:rsid w:val="006544C4"/>
    <w:pPr>
      <w:ind w:left="4252"/>
    </w:pPr>
  </w:style>
  <w:style w:type="character" w:customStyle="1" w:styleId="ClosingChar">
    <w:name w:val="Closing Char"/>
    <w:basedOn w:val="DefaultParagraphFont"/>
    <w:link w:val="Closing"/>
    <w:uiPriority w:val="99"/>
    <w:semiHidden/>
    <w:rsid w:val="006544C4"/>
    <w:rPr>
      <w:rFonts w:eastAsiaTheme="minorEastAsia"/>
      <w:sz w:val="24"/>
    </w:rPr>
  </w:style>
  <w:style w:type="table" w:styleId="ColorfulGrid">
    <w:name w:val="Colorful Grid"/>
    <w:basedOn w:val="TableNormal"/>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rsid w:val="006544C4"/>
    <w:rPr>
      <w:b/>
      <w:bCs/>
      <w:szCs w:val="20"/>
    </w:rPr>
  </w:style>
  <w:style w:type="character" w:customStyle="1" w:styleId="CommentSubjectChar">
    <w:name w:val="Comment Subject Char"/>
    <w:basedOn w:val="CommentTextChar"/>
    <w:link w:val="CommentSubject"/>
    <w:semiHidden/>
    <w:rsid w:val="006544C4"/>
    <w:rPr>
      <w:rFonts w:eastAsiaTheme="minorEastAsia"/>
      <w:b/>
      <w:bCs/>
      <w:sz w:val="20"/>
      <w:szCs w:val="20"/>
    </w:rPr>
  </w:style>
  <w:style w:type="table" w:styleId="DarkList">
    <w:name w:val="Dark List"/>
    <w:basedOn w:val="TableNormal"/>
    <w:uiPriority w:val="99"/>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6544C4"/>
  </w:style>
  <w:style w:type="character" w:customStyle="1" w:styleId="DateChar">
    <w:name w:val="Date Char"/>
    <w:basedOn w:val="DefaultParagraphFont"/>
    <w:link w:val="Date"/>
    <w:uiPriority w:val="99"/>
    <w:semiHidden/>
    <w:rsid w:val="006544C4"/>
    <w:rPr>
      <w:rFonts w:eastAsiaTheme="minorEastAsia"/>
      <w:sz w:val="24"/>
    </w:rPr>
  </w:style>
  <w:style w:type="paragraph" w:styleId="DocumentMap">
    <w:name w:val="Document Map"/>
    <w:basedOn w:val="Normal"/>
    <w:link w:val="DocumentMapChar"/>
    <w:semiHidden/>
    <w:rsid w:val="006544C4"/>
    <w:rPr>
      <w:rFonts w:ascii="Tahoma" w:hAnsi="Tahoma" w:cs="Tahoma"/>
      <w:sz w:val="16"/>
      <w:szCs w:val="16"/>
    </w:rPr>
  </w:style>
  <w:style w:type="character" w:customStyle="1" w:styleId="DocumentMapChar">
    <w:name w:val="Document Map Char"/>
    <w:basedOn w:val="DefaultParagraphFont"/>
    <w:link w:val="DocumentMap"/>
    <w:semiHidden/>
    <w:rsid w:val="006544C4"/>
    <w:rPr>
      <w:rFonts w:ascii="Tahoma" w:eastAsiaTheme="minorEastAsia" w:hAnsi="Tahoma" w:cs="Tahoma"/>
      <w:sz w:val="16"/>
      <w:szCs w:val="16"/>
    </w:rPr>
  </w:style>
  <w:style w:type="paragraph" w:styleId="E-mailSignature">
    <w:name w:val="E-mail Signature"/>
    <w:basedOn w:val="Normal"/>
    <w:link w:val="E-mailSignatureChar"/>
    <w:uiPriority w:val="99"/>
    <w:semiHidden/>
    <w:rsid w:val="006544C4"/>
  </w:style>
  <w:style w:type="character" w:customStyle="1" w:styleId="E-mailSignatureChar">
    <w:name w:val="E-mail Signature Char"/>
    <w:basedOn w:val="DefaultParagraphFont"/>
    <w:link w:val="E-mailSignature"/>
    <w:uiPriority w:val="99"/>
    <w:semiHidden/>
    <w:rsid w:val="006544C4"/>
    <w:rPr>
      <w:rFonts w:eastAsiaTheme="minorEastAsia"/>
      <w:sz w:val="24"/>
    </w:rPr>
  </w:style>
  <w:style w:type="character" w:styleId="EndnoteReference">
    <w:name w:val="endnote reference"/>
    <w:basedOn w:val="DefaultParagraphFont"/>
    <w:semiHidden/>
    <w:rsid w:val="006544C4"/>
    <w:rPr>
      <w:vertAlign w:val="superscript"/>
    </w:rPr>
  </w:style>
  <w:style w:type="paragraph" w:styleId="EndnoteText">
    <w:name w:val="endnote text"/>
    <w:basedOn w:val="Normal"/>
    <w:link w:val="EndnoteTextChar"/>
    <w:uiPriority w:val="99"/>
    <w:semiHidden/>
    <w:rsid w:val="006544C4"/>
    <w:rPr>
      <w:sz w:val="20"/>
      <w:szCs w:val="20"/>
    </w:rPr>
  </w:style>
  <w:style w:type="character" w:customStyle="1" w:styleId="EndnoteTextChar">
    <w:name w:val="Endnote Text Char"/>
    <w:basedOn w:val="DefaultParagraphFont"/>
    <w:link w:val="EndnoteText"/>
    <w:uiPriority w:val="99"/>
    <w:semiHidden/>
    <w:rsid w:val="006544C4"/>
    <w:rPr>
      <w:rFonts w:eastAsiaTheme="minorEastAsia"/>
      <w:sz w:val="20"/>
      <w:szCs w:val="20"/>
    </w:rPr>
  </w:style>
  <w:style w:type="paragraph" w:styleId="EnvelopeAddress">
    <w:name w:val="envelope address"/>
    <w:basedOn w:val="Normal"/>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rsid w:val="006544C4"/>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6544C4"/>
    <w:rPr>
      <w:color w:val="7030A0" w:themeColor="followedHyperlink"/>
      <w:u w:val="single"/>
    </w:rPr>
  </w:style>
  <w:style w:type="character" w:styleId="HTMLAcronym">
    <w:name w:val="HTML Acronym"/>
    <w:basedOn w:val="DefaultParagraphFont"/>
    <w:uiPriority w:val="99"/>
    <w:semiHidden/>
    <w:rsid w:val="006544C4"/>
  </w:style>
  <w:style w:type="paragraph" w:styleId="HTMLAddress">
    <w:name w:val="HTML Address"/>
    <w:basedOn w:val="Normal"/>
    <w:link w:val="HTMLAddressChar"/>
    <w:semiHidden/>
    <w:rsid w:val="006544C4"/>
    <w:rPr>
      <w:i/>
      <w:iCs/>
    </w:rPr>
  </w:style>
  <w:style w:type="character" w:customStyle="1" w:styleId="HTMLAddressChar">
    <w:name w:val="HTML Address Char"/>
    <w:basedOn w:val="DefaultParagraphFont"/>
    <w:link w:val="HTMLAddress"/>
    <w:semiHidden/>
    <w:rsid w:val="006544C4"/>
    <w:rPr>
      <w:rFonts w:eastAsiaTheme="minorEastAsia"/>
      <w:i/>
      <w:iCs/>
      <w:sz w:val="24"/>
    </w:rPr>
  </w:style>
  <w:style w:type="character" w:styleId="HTMLCite">
    <w:name w:val="HTML Cite"/>
    <w:basedOn w:val="DefaultParagraphFont"/>
    <w:uiPriority w:val="99"/>
    <w:semiHidden/>
    <w:rsid w:val="006544C4"/>
    <w:rPr>
      <w:i/>
      <w:iCs/>
    </w:rPr>
  </w:style>
  <w:style w:type="character" w:styleId="HTMLCode">
    <w:name w:val="HTML Code"/>
    <w:basedOn w:val="DefaultParagraphFont"/>
    <w:uiPriority w:val="99"/>
    <w:semiHidden/>
    <w:rsid w:val="006544C4"/>
    <w:rPr>
      <w:rFonts w:ascii="Consolas" w:hAnsi="Consolas" w:cs="Consolas"/>
      <w:sz w:val="20"/>
      <w:szCs w:val="20"/>
    </w:rPr>
  </w:style>
  <w:style w:type="character" w:styleId="HTMLDefinition">
    <w:name w:val="HTML Definition"/>
    <w:basedOn w:val="DefaultParagraphFont"/>
    <w:uiPriority w:val="99"/>
    <w:semiHidden/>
    <w:rsid w:val="006544C4"/>
    <w:rPr>
      <w:i/>
      <w:iCs/>
    </w:rPr>
  </w:style>
  <w:style w:type="character" w:styleId="HTMLKeyboard">
    <w:name w:val="HTML Keyboard"/>
    <w:basedOn w:val="DefaultParagraphFont"/>
    <w:semiHidden/>
    <w:rsid w:val="006544C4"/>
    <w:rPr>
      <w:rFonts w:ascii="Consolas" w:hAnsi="Consolas" w:cs="Consolas"/>
      <w:sz w:val="20"/>
      <w:szCs w:val="20"/>
    </w:rPr>
  </w:style>
  <w:style w:type="paragraph" w:styleId="HTMLPreformatted">
    <w:name w:val="HTML Preformatted"/>
    <w:basedOn w:val="Normal"/>
    <w:link w:val="HTMLPreformattedChar"/>
    <w:uiPriority w:val="99"/>
    <w:semiHidden/>
    <w:rsid w:val="006544C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544C4"/>
    <w:rPr>
      <w:rFonts w:ascii="Consolas" w:eastAsiaTheme="minorEastAsia" w:hAnsi="Consolas" w:cs="Consolas"/>
      <w:sz w:val="20"/>
      <w:szCs w:val="20"/>
    </w:rPr>
  </w:style>
  <w:style w:type="character" w:styleId="HTMLSample">
    <w:name w:val="HTML Sample"/>
    <w:basedOn w:val="DefaultParagraphFont"/>
    <w:semiHidden/>
    <w:rsid w:val="006544C4"/>
    <w:rPr>
      <w:rFonts w:ascii="Consolas" w:hAnsi="Consolas" w:cs="Consolas"/>
      <w:sz w:val="24"/>
      <w:szCs w:val="24"/>
    </w:rPr>
  </w:style>
  <w:style w:type="character" w:styleId="HTMLTypewriter">
    <w:name w:val="HTML Typewriter"/>
    <w:basedOn w:val="DefaultParagraphFont"/>
    <w:uiPriority w:val="99"/>
    <w:semiHidden/>
    <w:rsid w:val="006544C4"/>
    <w:rPr>
      <w:rFonts w:ascii="Consolas" w:hAnsi="Consolas" w:cs="Consolas"/>
      <w:sz w:val="20"/>
      <w:szCs w:val="20"/>
    </w:rPr>
  </w:style>
  <w:style w:type="character" w:styleId="HTMLVariable">
    <w:name w:val="HTML Variable"/>
    <w:basedOn w:val="DefaultParagraphFont"/>
    <w:semiHidden/>
    <w:rsid w:val="006544C4"/>
    <w:rPr>
      <w:i/>
      <w:iCs/>
    </w:rPr>
  </w:style>
  <w:style w:type="paragraph" w:styleId="Index1">
    <w:name w:val="index 1"/>
    <w:basedOn w:val="Normal"/>
    <w:next w:val="Normal"/>
    <w:autoRedefine/>
    <w:uiPriority w:val="99"/>
    <w:semiHidden/>
    <w:rsid w:val="006544C4"/>
    <w:pPr>
      <w:ind w:left="240" w:hanging="240"/>
    </w:pPr>
  </w:style>
  <w:style w:type="paragraph" w:styleId="Index2">
    <w:name w:val="index 2"/>
    <w:basedOn w:val="Normal"/>
    <w:next w:val="Normal"/>
    <w:autoRedefine/>
    <w:semiHidden/>
    <w:rsid w:val="006544C4"/>
    <w:pPr>
      <w:ind w:left="480" w:hanging="240"/>
    </w:pPr>
  </w:style>
  <w:style w:type="paragraph" w:styleId="Index3">
    <w:name w:val="index 3"/>
    <w:basedOn w:val="Normal"/>
    <w:next w:val="Normal"/>
    <w:autoRedefine/>
    <w:uiPriority w:val="99"/>
    <w:semiHidden/>
    <w:rsid w:val="006544C4"/>
    <w:pPr>
      <w:ind w:left="720" w:hanging="240"/>
    </w:pPr>
  </w:style>
  <w:style w:type="paragraph" w:styleId="Index4">
    <w:name w:val="index 4"/>
    <w:basedOn w:val="Normal"/>
    <w:next w:val="Normal"/>
    <w:autoRedefine/>
    <w:uiPriority w:val="99"/>
    <w:semiHidden/>
    <w:rsid w:val="006544C4"/>
    <w:pPr>
      <w:ind w:left="960" w:hanging="240"/>
    </w:pPr>
  </w:style>
  <w:style w:type="paragraph" w:styleId="Index5">
    <w:name w:val="index 5"/>
    <w:basedOn w:val="Normal"/>
    <w:next w:val="Normal"/>
    <w:autoRedefine/>
    <w:uiPriority w:val="99"/>
    <w:semiHidden/>
    <w:rsid w:val="006544C4"/>
    <w:pPr>
      <w:ind w:left="1200" w:hanging="240"/>
    </w:pPr>
  </w:style>
  <w:style w:type="paragraph" w:styleId="Index6">
    <w:name w:val="index 6"/>
    <w:basedOn w:val="Normal"/>
    <w:next w:val="Normal"/>
    <w:autoRedefine/>
    <w:semiHidden/>
    <w:rsid w:val="006544C4"/>
    <w:pPr>
      <w:ind w:left="1440" w:hanging="240"/>
    </w:pPr>
  </w:style>
  <w:style w:type="paragraph" w:styleId="Index7">
    <w:name w:val="index 7"/>
    <w:basedOn w:val="Normal"/>
    <w:next w:val="Normal"/>
    <w:autoRedefine/>
    <w:uiPriority w:val="99"/>
    <w:semiHidden/>
    <w:rsid w:val="006544C4"/>
    <w:pPr>
      <w:ind w:left="1680" w:hanging="240"/>
    </w:pPr>
  </w:style>
  <w:style w:type="paragraph" w:styleId="Index8">
    <w:name w:val="index 8"/>
    <w:basedOn w:val="Normal"/>
    <w:next w:val="Normal"/>
    <w:autoRedefine/>
    <w:semiHidden/>
    <w:rsid w:val="006544C4"/>
    <w:pPr>
      <w:ind w:left="1920" w:hanging="240"/>
    </w:pPr>
  </w:style>
  <w:style w:type="paragraph" w:styleId="Index9">
    <w:name w:val="index 9"/>
    <w:basedOn w:val="Normal"/>
    <w:next w:val="Normal"/>
    <w:autoRedefine/>
    <w:uiPriority w:val="99"/>
    <w:semiHidden/>
    <w:rsid w:val="006544C4"/>
    <w:pPr>
      <w:ind w:left="2160" w:hanging="240"/>
    </w:pPr>
  </w:style>
  <w:style w:type="paragraph" w:styleId="IndexHeading">
    <w:name w:val="index heading"/>
    <w:basedOn w:val="Normal"/>
    <w:next w:val="Index1"/>
    <w:semiHidden/>
    <w:rsid w:val="006544C4"/>
    <w:rPr>
      <w:rFonts w:asciiTheme="majorHAnsi" w:eastAsiaTheme="majorEastAsia" w:hAnsiTheme="majorHAnsi" w:cstheme="majorBidi"/>
      <w:b/>
      <w:bCs/>
    </w:rPr>
  </w:style>
  <w:style w:type="table" w:styleId="LightGrid">
    <w:name w:val="Light Grid"/>
    <w:basedOn w:val="TableNormal"/>
    <w:uiPriority w:val="99"/>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semiHidden/>
    <w:rsid w:val="006544C4"/>
  </w:style>
  <w:style w:type="paragraph" w:styleId="List">
    <w:name w:val="List"/>
    <w:basedOn w:val="Normal"/>
    <w:uiPriority w:val="99"/>
    <w:semiHidden/>
    <w:rsid w:val="006544C4"/>
    <w:pPr>
      <w:ind w:left="283" w:hanging="283"/>
      <w:contextualSpacing/>
    </w:pPr>
  </w:style>
  <w:style w:type="paragraph" w:styleId="List2">
    <w:name w:val="List 2"/>
    <w:basedOn w:val="Normal"/>
    <w:semiHidden/>
    <w:rsid w:val="006544C4"/>
    <w:pPr>
      <w:ind w:left="566" w:hanging="283"/>
      <w:contextualSpacing/>
    </w:pPr>
  </w:style>
  <w:style w:type="paragraph" w:styleId="List3">
    <w:name w:val="List 3"/>
    <w:basedOn w:val="Normal"/>
    <w:uiPriority w:val="99"/>
    <w:semiHidden/>
    <w:rsid w:val="006544C4"/>
    <w:pPr>
      <w:ind w:left="849" w:hanging="283"/>
      <w:contextualSpacing/>
    </w:pPr>
  </w:style>
  <w:style w:type="paragraph" w:styleId="List4">
    <w:name w:val="List 4"/>
    <w:basedOn w:val="Normal"/>
    <w:semiHidden/>
    <w:rsid w:val="006544C4"/>
    <w:pPr>
      <w:ind w:left="1132" w:hanging="283"/>
      <w:contextualSpacing/>
    </w:pPr>
  </w:style>
  <w:style w:type="paragraph" w:styleId="List5">
    <w:name w:val="List 5"/>
    <w:basedOn w:val="Normal"/>
    <w:uiPriority w:val="99"/>
    <w:semiHidden/>
    <w:rsid w:val="006544C4"/>
    <w:pPr>
      <w:ind w:left="1415" w:hanging="283"/>
      <w:contextualSpacing/>
    </w:pPr>
  </w:style>
  <w:style w:type="paragraph" w:styleId="ListBullet">
    <w:name w:val="List Bullet"/>
    <w:basedOn w:val="Normal"/>
    <w:uiPriority w:val="99"/>
    <w:semiHidden/>
    <w:rsid w:val="006544C4"/>
    <w:pPr>
      <w:numPr>
        <w:numId w:val="15"/>
      </w:numPr>
      <w:contextualSpacing/>
    </w:pPr>
  </w:style>
  <w:style w:type="paragraph" w:styleId="ListBullet4">
    <w:name w:val="List Bullet 4"/>
    <w:basedOn w:val="Normal"/>
    <w:uiPriority w:val="99"/>
    <w:semiHidden/>
    <w:rsid w:val="006544C4"/>
    <w:pPr>
      <w:numPr>
        <w:numId w:val="16"/>
      </w:numPr>
      <w:contextualSpacing/>
    </w:pPr>
  </w:style>
  <w:style w:type="paragraph" w:styleId="ListBullet5">
    <w:name w:val="List Bullet 5"/>
    <w:basedOn w:val="Normal"/>
    <w:semiHidden/>
    <w:rsid w:val="006544C4"/>
    <w:pPr>
      <w:numPr>
        <w:numId w:val="17"/>
      </w:numPr>
      <w:contextualSpacing/>
    </w:pPr>
  </w:style>
  <w:style w:type="paragraph" w:styleId="ListContinue">
    <w:name w:val="List Continue"/>
    <w:basedOn w:val="Normal"/>
    <w:uiPriority w:val="99"/>
    <w:semiHidden/>
    <w:rsid w:val="006544C4"/>
    <w:pPr>
      <w:spacing w:after="120"/>
      <w:ind w:left="283"/>
      <w:contextualSpacing/>
    </w:pPr>
  </w:style>
  <w:style w:type="paragraph" w:styleId="ListContinue2">
    <w:name w:val="List Continue 2"/>
    <w:basedOn w:val="Normal"/>
    <w:semiHidden/>
    <w:rsid w:val="006544C4"/>
    <w:pPr>
      <w:spacing w:after="120"/>
      <w:ind w:left="566"/>
      <w:contextualSpacing/>
    </w:pPr>
  </w:style>
  <w:style w:type="paragraph" w:styleId="ListContinue3">
    <w:name w:val="List Continue 3"/>
    <w:basedOn w:val="Normal"/>
    <w:uiPriority w:val="99"/>
    <w:semiHidden/>
    <w:rsid w:val="006544C4"/>
    <w:pPr>
      <w:spacing w:after="120"/>
      <w:ind w:left="849"/>
      <w:contextualSpacing/>
    </w:pPr>
  </w:style>
  <w:style w:type="paragraph" w:styleId="ListContinue4">
    <w:name w:val="List Continue 4"/>
    <w:basedOn w:val="Normal"/>
    <w:uiPriority w:val="99"/>
    <w:semiHidden/>
    <w:rsid w:val="006544C4"/>
    <w:pPr>
      <w:spacing w:after="120"/>
      <w:ind w:left="1132"/>
      <w:contextualSpacing/>
    </w:pPr>
  </w:style>
  <w:style w:type="paragraph" w:styleId="ListContinue5">
    <w:name w:val="List Continue 5"/>
    <w:basedOn w:val="Normal"/>
    <w:uiPriority w:val="99"/>
    <w:semiHidden/>
    <w:rsid w:val="006544C4"/>
    <w:pPr>
      <w:spacing w:after="120"/>
      <w:ind w:left="1415"/>
      <w:contextualSpacing/>
    </w:pPr>
  </w:style>
  <w:style w:type="paragraph" w:styleId="ListNumber">
    <w:name w:val="List Number"/>
    <w:basedOn w:val="Normal"/>
    <w:semiHidden/>
    <w:rsid w:val="006544C4"/>
    <w:pPr>
      <w:numPr>
        <w:numId w:val="18"/>
      </w:numPr>
      <w:contextualSpacing/>
    </w:pPr>
  </w:style>
  <w:style w:type="paragraph" w:styleId="ListNumber2">
    <w:name w:val="List Number 2"/>
    <w:basedOn w:val="Normal"/>
    <w:uiPriority w:val="99"/>
    <w:semiHidden/>
    <w:rsid w:val="006544C4"/>
    <w:pPr>
      <w:numPr>
        <w:numId w:val="19"/>
      </w:numPr>
      <w:contextualSpacing/>
    </w:pPr>
  </w:style>
  <w:style w:type="paragraph" w:styleId="ListNumber3">
    <w:name w:val="List Number 3"/>
    <w:basedOn w:val="Normal"/>
    <w:semiHidden/>
    <w:rsid w:val="006544C4"/>
    <w:pPr>
      <w:numPr>
        <w:numId w:val="20"/>
      </w:numPr>
      <w:contextualSpacing/>
    </w:pPr>
  </w:style>
  <w:style w:type="paragraph" w:styleId="ListNumber4">
    <w:name w:val="List Number 4"/>
    <w:basedOn w:val="Normal"/>
    <w:uiPriority w:val="99"/>
    <w:semiHidden/>
    <w:rsid w:val="006544C4"/>
    <w:pPr>
      <w:numPr>
        <w:numId w:val="21"/>
      </w:numPr>
      <w:contextualSpacing/>
    </w:pPr>
  </w:style>
  <w:style w:type="paragraph" w:styleId="ListNumber5">
    <w:name w:val="List Number 5"/>
    <w:basedOn w:val="Normal"/>
    <w:semiHidden/>
    <w:rsid w:val="006544C4"/>
    <w:pPr>
      <w:numPr>
        <w:numId w:val="22"/>
      </w:numPr>
      <w:contextualSpacing/>
    </w:pPr>
  </w:style>
  <w:style w:type="paragraph" w:styleId="MacroText">
    <w:name w:val="macro"/>
    <w:link w:val="MacroTextChar"/>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6544C4"/>
    <w:rPr>
      <w:rFonts w:ascii="Consolas" w:eastAsiaTheme="minorEastAsia" w:hAnsi="Consolas" w:cs="Consolas"/>
      <w:sz w:val="20"/>
      <w:szCs w:val="20"/>
    </w:rPr>
  </w:style>
  <w:style w:type="table" w:styleId="MediumGrid1">
    <w:name w:val="Medium Grid 1"/>
    <w:basedOn w:val="TableNormal"/>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544C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6544C4"/>
    <w:rPr>
      <w:rFonts w:ascii="Times New Roman" w:hAnsi="Times New Roman" w:cs="Times New Roman"/>
      <w:szCs w:val="24"/>
    </w:rPr>
  </w:style>
  <w:style w:type="paragraph" w:styleId="NormalIndent">
    <w:name w:val="Normal Indent"/>
    <w:basedOn w:val="Normal"/>
    <w:uiPriority w:val="99"/>
    <w:semiHidden/>
    <w:rsid w:val="006544C4"/>
    <w:pPr>
      <w:ind w:left="720"/>
    </w:pPr>
  </w:style>
  <w:style w:type="paragraph" w:styleId="NoteHeading">
    <w:name w:val="Note Heading"/>
    <w:basedOn w:val="Normal"/>
    <w:next w:val="Normal"/>
    <w:link w:val="NoteHeadingChar"/>
    <w:uiPriority w:val="99"/>
    <w:semiHidden/>
    <w:rsid w:val="006544C4"/>
  </w:style>
  <w:style w:type="character" w:customStyle="1" w:styleId="NoteHeadingChar">
    <w:name w:val="Note Heading Char"/>
    <w:basedOn w:val="DefaultParagraphFont"/>
    <w:link w:val="NoteHeading"/>
    <w:uiPriority w:val="99"/>
    <w:semiHidden/>
    <w:rsid w:val="006544C4"/>
    <w:rPr>
      <w:rFonts w:eastAsiaTheme="minorEastAsia"/>
      <w:sz w:val="24"/>
    </w:rPr>
  </w:style>
  <w:style w:type="character" w:styleId="PlaceholderText">
    <w:name w:val="Placeholder Text"/>
    <w:basedOn w:val="DefaultParagraphFont"/>
    <w:uiPriority w:val="99"/>
    <w:semiHidden/>
    <w:rsid w:val="00F9130D"/>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6544C4"/>
    <w:rPr>
      <w:rFonts w:ascii="Consolas" w:hAnsi="Consolas" w:cs="Consolas"/>
      <w:sz w:val="21"/>
      <w:szCs w:val="21"/>
    </w:rPr>
  </w:style>
  <w:style w:type="character" w:customStyle="1" w:styleId="PlainTextChar">
    <w:name w:val="Plain Text Char"/>
    <w:basedOn w:val="DefaultParagraphFont"/>
    <w:link w:val="PlainText"/>
    <w:uiPriority w:val="99"/>
    <w:semiHidden/>
    <w:rsid w:val="006544C4"/>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6544C4"/>
  </w:style>
  <w:style w:type="character" w:customStyle="1" w:styleId="SalutationChar">
    <w:name w:val="Salutation Char"/>
    <w:basedOn w:val="DefaultParagraphFont"/>
    <w:link w:val="Salutation"/>
    <w:uiPriority w:val="99"/>
    <w:semiHidden/>
    <w:rsid w:val="006544C4"/>
    <w:rPr>
      <w:rFonts w:eastAsiaTheme="minorEastAsia"/>
      <w:sz w:val="24"/>
    </w:rPr>
  </w:style>
  <w:style w:type="paragraph" w:styleId="Signature">
    <w:name w:val="Signature"/>
    <w:basedOn w:val="Normal"/>
    <w:link w:val="SignatureChar"/>
    <w:uiPriority w:val="99"/>
    <w:semiHidden/>
    <w:rsid w:val="006544C4"/>
    <w:pPr>
      <w:ind w:left="4252"/>
    </w:pPr>
  </w:style>
  <w:style w:type="character" w:customStyle="1" w:styleId="SignatureChar">
    <w:name w:val="Signature Char"/>
    <w:basedOn w:val="DefaultParagraphFont"/>
    <w:link w:val="Signature"/>
    <w:uiPriority w:val="99"/>
    <w:semiHidden/>
    <w:rsid w:val="006544C4"/>
    <w:rPr>
      <w:rFonts w:eastAsiaTheme="minorEastAsia"/>
      <w:sz w:val="24"/>
    </w:rPr>
  </w:style>
  <w:style w:type="table" w:styleId="Table3Deffects1">
    <w:name w:val="Table 3D effects 1"/>
    <w:basedOn w:val="TableNormal"/>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6544C4"/>
    <w:pPr>
      <w:ind w:left="240" w:hanging="240"/>
    </w:pPr>
  </w:style>
  <w:style w:type="paragraph" w:styleId="TableofFigures">
    <w:name w:val="table of figures"/>
    <w:basedOn w:val="Normal"/>
    <w:next w:val="Normal"/>
    <w:uiPriority w:val="99"/>
    <w:semiHidden/>
    <w:rsid w:val="006544C4"/>
  </w:style>
  <w:style w:type="table" w:styleId="TableProfessional">
    <w:name w:val="Table Professional"/>
    <w:basedOn w:val="TableNormal"/>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F9130D"/>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F9130D"/>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6544C4"/>
    <w:pPr>
      <w:spacing w:after="100"/>
      <w:ind w:left="1680"/>
    </w:pPr>
  </w:style>
  <w:style w:type="paragraph" w:styleId="TOC9">
    <w:name w:val="toc 9"/>
    <w:basedOn w:val="Normal"/>
    <w:next w:val="Normal"/>
    <w:autoRedefine/>
    <w:uiPriority w:val="99"/>
    <w:semiHidden/>
    <w:rsid w:val="006544C4"/>
    <w:pPr>
      <w:spacing w:after="100"/>
      <w:ind w:left="1920"/>
    </w:pPr>
  </w:style>
  <w:style w:type="paragraph" w:customStyle="1" w:styleId="ECHRFooter">
    <w:name w:val="ECHR_Footer"/>
    <w:aliases w:val="Footer_ECHR"/>
    <w:basedOn w:val="Footer"/>
    <w:uiPriority w:val="57"/>
    <w:semiHidden/>
    <w:rsid w:val="00F9130D"/>
    <w:pPr>
      <w:jc w:val="left"/>
    </w:pPr>
    <w:rPr>
      <w:sz w:val="8"/>
    </w:rPr>
  </w:style>
  <w:style w:type="paragraph" w:customStyle="1" w:styleId="ECHRFooterLine">
    <w:name w:val="ECHR_Footer_Line"/>
    <w:aliases w:val="Footer_Line"/>
    <w:basedOn w:val="Normal"/>
    <w:next w:val="ECHRFooter"/>
    <w:uiPriority w:val="57"/>
    <w:semiHidden/>
    <w:rsid w:val="00F9130D"/>
    <w:pPr>
      <w:pBdr>
        <w:top w:val="single" w:sz="6" w:space="1" w:color="5F5F5F"/>
      </w:pBdr>
      <w:tabs>
        <w:tab w:val="center" w:pos="4536"/>
        <w:tab w:val="right" w:pos="9696"/>
      </w:tabs>
      <w:ind w:left="-680" w:right="-680"/>
      <w:jc w:val="left"/>
    </w:pPr>
    <w:rPr>
      <w:color w:val="5F5F5F"/>
    </w:rPr>
  </w:style>
  <w:style w:type="paragraph" w:customStyle="1" w:styleId="JuCase">
    <w:name w:val="Ju_Case"/>
    <w:basedOn w:val="Normal"/>
    <w:next w:val="ECHRPara"/>
    <w:uiPriority w:val="10"/>
    <w:rsid w:val="00F9130D"/>
    <w:pPr>
      <w:ind w:firstLine="284"/>
    </w:pPr>
    <w:rPr>
      <w:b/>
    </w:rPr>
  </w:style>
  <w:style w:type="paragraph" w:customStyle="1" w:styleId="JuHeaderLandscape">
    <w:name w:val="Ju_Header_Landscape"/>
    <w:basedOn w:val="ECHRHeader"/>
    <w:uiPriority w:val="4"/>
    <w:qFormat/>
    <w:rsid w:val="00F9130D"/>
    <w:pPr>
      <w:tabs>
        <w:tab w:val="clear" w:pos="3686"/>
        <w:tab w:val="clear" w:pos="7371"/>
        <w:tab w:val="center" w:pos="6146"/>
        <w:tab w:val="right" w:pos="12293"/>
      </w:tabs>
    </w:pPr>
  </w:style>
  <w:style w:type="character" w:customStyle="1" w:styleId="ECHRParaChar">
    <w:name w:val="ECHR_Para Char"/>
    <w:aliases w:val="Ju_Para Char"/>
    <w:link w:val="ECHRPara"/>
    <w:uiPriority w:val="12"/>
    <w:rsid w:val="006C279B"/>
    <w:rPr>
      <w:rFonts w:eastAsiaTheme="minorEastAsia"/>
      <w:sz w:val="24"/>
    </w:rPr>
  </w:style>
  <w:style w:type="paragraph" w:styleId="Revision">
    <w:name w:val="Revision"/>
    <w:hidden/>
    <w:uiPriority w:val="99"/>
    <w:semiHidden/>
    <w:rsid w:val="006C279B"/>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doc.echr.coe.int/eng"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udoc.echr.coe.int/en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B9A526-15F7-428D-A492-E819BAA0A495}"/>
</file>

<file path=customXml/itemProps2.xml><?xml version="1.0" encoding="utf-8"?>
<ds:datastoreItem xmlns:ds="http://schemas.openxmlformats.org/officeDocument/2006/customXml" ds:itemID="{990AD490-8460-4D69-842C-F82C9BAD1947}"/>
</file>

<file path=customXml/itemProps3.xml><?xml version="1.0" encoding="utf-8"?>
<ds:datastoreItem xmlns:ds="http://schemas.openxmlformats.org/officeDocument/2006/customXml" ds:itemID="{99CBE956-849B-46AF-98E5-0381EBB4AC0D}"/>
</file>

<file path=customXml/itemProps4.xml><?xml version="1.0" encoding="utf-8"?>
<ds:datastoreItem xmlns:ds="http://schemas.openxmlformats.org/officeDocument/2006/customXml" ds:itemID="{0B9018DE-2424-4664-9E61-ADB45007889F}"/>
</file>

<file path=docProps/app.xml><?xml version="1.0" encoding="utf-8"?>
<Properties xmlns="http://schemas.openxmlformats.org/officeDocument/2006/extended-properties" xmlns:vt="http://schemas.openxmlformats.org/officeDocument/2006/docPropsVTypes">
  <Template>Normal.dotm</Template>
  <TotalTime>0</TotalTime>
  <Pages>1</Pages>
  <Words>4591</Words>
  <Characters>26173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Décision</vt:lpstr>
    </vt:vector>
  </TitlesOfParts>
  <Manager/>
  <Company/>
  <LinksUpToDate>false</LinksUpToDate>
  <CharactersWithSpaces>30703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2017-06-12T09:40:00Z</dcterms:created>
  <dcterms:modified xsi:type="dcterms:W3CDTF">2017-06-12T09:40:00Z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70478/16</vt:lpwstr>
  </property>
  <property fmtid="{D5CDD505-2E9C-101B-9397-08002B2CF9AE}" pid="4" name="CASEID">
    <vt:lpwstr>1263970</vt:lpwstr>
  </property>
  <property fmtid="{D5CDD505-2E9C-101B-9397-08002B2CF9AE}" pid="5" name="ContentTypeId">
    <vt:lpwstr>0x010100558EB02BDB9E204AB350EDD385B68E10</vt:lpwstr>
  </property>
</Properties>
</file>